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 Vintage and Knowledge Depreciation: Board Technical Competency in the Era of Generative AI</w:t>
      </w:r>
    </w:p>
    <w:p>
      <w:pPr>
        <w:pStyle w:val="Subtitle"/>
      </w:pPr>
      <w:r>
        <w:t xml:space="preserve">The integration of artificial intelligence (AI) into the strategic core of the modern enterprise represents a pivotal juncture in corporate history, comparable to the advent of the internet or the electrification of industry. Specifically, the emergence of Generative AI (GenAI), catalyzed by the public release of ChatGPT in November 2022, has created a competence-destroying technological discontinuity (Anderson &amp; Tushman, 2018). Unlike incremental technological advances that reward accumulated experience and existing institutional knowledge, competence-destroying discontinuities render vast swaths of prior expertise obsolete. In this volatile environment, the board of directors serves as the ultimate steward of organizational adaptation, tasked with navigating the firm through the gale of creative destruction (Ma, 2025).</w:t>
      </w:r>
    </w:p>
    <w:p>
      <w:pPr>
        <w:pStyle w:val="Author"/>
      </w:pPr>
      <w:r>
        <w:t xml:space="preserve">Chungil Chae</w:t>
      </w:r>
    </w:p>
    <w:p>
      <w:pPr>
        <w:pStyle w:val="Date"/>
      </w:pPr>
      <w:r>
        <w:t xml:space="preserve">Wed, 1 April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2" w:name="X5944337cda73a3a97d2e6e113858a0b25e50808"/>
    <w:p>
      <w:pPr>
        <w:pStyle w:val="Heading1"/>
      </w:pPr>
      <w:r>
        <w:t xml:space="preserve">Education Vintage and Knowledge Depreciation: Board Technical Competency in the Era of Generative AI</w:t>
      </w:r>
    </w:p>
    <w:bookmarkStart w:id="20" w:name="project-details"/>
    <w:p>
      <w:pPr>
        <w:pStyle w:val="Heading2"/>
      </w:pPr>
      <w:r>
        <w:t xml:space="preserve">Project Details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Item</w:t>
            </w:r>
          </w:p>
        </w:tc>
        <w:tc>
          <w:tcPr/>
          <w:p>
            <w:pPr>
              <w:pStyle w:val="Compact"/>
            </w:pPr>
            <w:r>
              <w:t xml:space="preserve">Value</w:t>
            </w:r>
          </w:p>
        </w:tc>
      </w:tr>
      <w:tr>
        <w:tc>
          <w:tcPr/>
          <w:p>
            <w:pPr>
              <w:pStyle w:val="Compact"/>
            </w:pPr>
            <w:r>
              <w:t xml:space="preserve">Owner</w:t>
            </w:r>
          </w:p>
        </w:tc>
        <w:tc>
          <w:tcPr/>
          <w:p>
            <w:pPr>
              <w:pStyle w:val="Compact"/>
            </w:pPr>
            <w:r>
              <w:t xml:space="preserve">Tony, Jongcnaglu</w:t>
            </w:r>
          </w:p>
        </w:tc>
      </w:tr>
      <w:tr>
        <w:tc>
          <w:tcPr/>
          <w:p>
            <w:pPr>
              <w:pStyle w:val="Compact"/>
            </w:pPr>
            <w:r>
              <w:t xml:space="preserve">Type</w:t>
            </w:r>
          </w:p>
        </w:tc>
        <w:tc>
          <w:tcPr/>
          <w:p>
            <w:pPr>
              <w:pStyle w:val="Compact"/>
            </w:pPr>
            <w:r>
              <w:t xml:space="preserve">Research</w:t>
            </w:r>
          </w:p>
        </w:tc>
      </w:tr>
      <w:tr>
        <w:tc>
          <w:tcPr/>
          <w:p>
            <w:pPr>
              <w:pStyle w:val="Compact"/>
            </w:pPr>
            <w:r>
              <w:t xml:space="preserve">Status</w:t>
            </w:r>
          </w:p>
        </w:tc>
        <w:tc>
          <w:tcPr/>
          <w:p>
            <w:pPr>
              <w:pStyle w:val="Compact"/>
            </w:pPr>
            <w:r>
              <w:t xml:space="preserve">초기화</w:t>
            </w:r>
          </w:p>
        </w:tc>
      </w:tr>
      <w:tr>
        <w:tc>
          <w:tcPr/>
          <w:p>
            <w:pPr>
              <w:pStyle w:val="Compact"/>
            </w:pPr>
            <w:r>
              <w:t xml:space="preserve">Created</w:t>
            </w:r>
          </w:p>
        </w:tc>
        <w:tc>
          <w:tcPr/>
          <w:p>
            <w:pPr>
              <w:pStyle w:val="Compact"/>
            </w:pPr>
            <w:r>
              <w:t xml:space="preserve">2026-03-29</w:t>
            </w:r>
          </w:p>
        </w:tc>
      </w:tr>
      <w:tr>
        <w:tc>
          <w:tcPr/>
          <w:p>
            <w:pPr>
              <w:pStyle w:val="Compact"/>
            </w:pPr>
            <w:r>
              <w:t xml:space="preserve">Collaboration</w:t>
            </w:r>
          </w:p>
        </w:tc>
        <w:tc>
          <w:tcPr/>
          <w:p>
            <w:pPr>
              <w:pStyle w:val="Compact"/>
            </w:pPr>
            <w:r>
              <w:t xml:space="preserve">collaboration</w:t>
            </w:r>
          </w:p>
        </w:tc>
      </w:tr>
      <w:tr>
        <w:tc>
          <w:tcPr/>
          <w:p>
            <w:pPr>
              <w:pStyle w:val="Compact"/>
            </w:pPr>
            <w:r>
              <w:t xml:space="preserve">People</w:t>
            </w:r>
          </w:p>
        </w:tc>
        <w:tc>
          <w:tcPr/>
          <w:p>
            <w:pPr>
              <w:pStyle w:val="Compact"/>
            </w:pPr>
            <w:r>
              <w:t xml:space="preserve">채충일</w:t>
            </w:r>
          </w:p>
        </w:tc>
      </w:tr>
      <w:tr>
        <w:tc>
          <w:tcPr/>
          <w:p>
            <w:pPr>
              <w:pStyle w:val="Compact"/>
            </w:pPr>
            <w:r>
              <w:t xml:space="preserve">Deadline</w:t>
            </w:r>
          </w:p>
        </w:tc>
        <w:tc>
          <w:tcPr/>
          <w:p>
            <w:pPr>
              <w:pStyle w:val="Compact"/>
            </w:pPr>
            <w:r>
              <w:t xml:space="preserve">2026-05-30</w:t>
            </w:r>
          </w:p>
        </w:tc>
      </w:tr>
    </w:tbl>
    <w:bookmarkEnd w:id="20"/>
    <w:bookmarkStart w:id="21" w:name="description"/>
    <w:p>
      <w:pPr>
        <w:pStyle w:val="Heading2"/>
      </w:pPr>
      <w:r>
        <w:t xml:space="preserve">Description</w:t>
      </w:r>
    </w:p>
    <w:p>
      <w:pPr>
        <w:pStyle w:val="FirstParagraph"/>
      </w:pPr>
      <w:r>
        <w:t xml:space="preserve">The integration of artificial intelligence (AI) into the strategic core of the modern enterprise represents a pivotal juncture in corporate history, comparable to the advent of the internet or the electrification of industry. Specifically, the emergence of Generative AI (GenAI), catalyzed by the public release of ChatGPT in November 2022, has created a competence-destroying technological discontinuity (Anderson &amp; Tushman, 2018). Unlike incremental technological advances that reward accumulated experience and existing institutional knowledge, competence-destroying discontinuities render vast swaths of prior expertise obsolete. In this volatile environment, the board of directors serves as the ultimate steward of organizational adaptation, tasked with navigating the firm through the gale of creative destruction (Ma, 2025).</w:t>
      </w:r>
    </w:p>
    <w:bookmarkEnd w:id="21"/>
    <w:bookmarkEnd w:id="22"/>
    <w:bookmarkStart w:id="24" w:name="research-log"/>
    <w:p>
      <w:pPr>
        <w:pStyle w:val="Heading1"/>
      </w:pPr>
      <w:r>
        <w:t xml:space="preserve">Research Log</w:t>
      </w:r>
    </w:p>
    <w:bookmarkStart w:id="23" w:name="xxxx-xx-xx"/>
    <w:p>
      <w:pPr>
        <w:pStyle w:val="Heading2"/>
      </w:pPr>
      <w:r>
        <w:t xml:space="preserve">xxxx-xx-xx</w:t>
      </w:r>
    </w:p>
    <w:p>
      <w:pPr>
        <w:pStyle w:val="Compact"/>
        <w:numPr>
          <w:ilvl w:val="0"/>
          <w:numId w:val="1001"/>
        </w:numPr>
      </w:pPr>
      <w:r>
        <w:t xml:space="preserve">entry.</w:t>
      </w:r>
    </w:p>
    <w:bookmarkEnd w:id="23"/>
    <w:bookmarkEnd w:id="24"/>
    <w:bookmarkStart w:id="26" w:name="meeting-log"/>
    <w:p>
      <w:pPr>
        <w:pStyle w:val="Heading1"/>
      </w:pPr>
      <w:r>
        <w:t xml:space="preserve">Meeting Log</w:t>
      </w:r>
    </w:p>
    <w:bookmarkStart w:id="25" w:name="xxxx-xx-xx-1"/>
    <w:p>
      <w:pPr>
        <w:pStyle w:val="Heading2"/>
      </w:pPr>
      <w:r>
        <w:t xml:space="preserve">xxxx-xx-xx</w:t>
      </w:r>
    </w:p>
    <w:p>
      <w:pPr>
        <w:pStyle w:val="Compact"/>
        <w:numPr>
          <w:ilvl w:val="0"/>
          <w:numId w:val="1002"/>
        </w:numPr>
      </w:pPr>
      <w:r>
        <w:t xml:space="preserve">10:00-10:30: Kick-off meeting</w:t>
      </w:r>
    </w:p>
    <w:bookmarkEnd w:id="25"/>
    <w:bookmarkEnd w:id="26"/>
    <w:bookmarkStart w:id="28" w:name="analysis-version"/>
    <w:p>
      <w:pPr>
        <w:pStyle w:val="Heading1"/>
      </w:pPr>
      <w:r>
        <w:t xml:space="preserve">Analysis Version</w:t>
      </w:r>
    </w:p>
    <w:bookmarkStart w:id="27" w:name="version-0.0.1"/>
    <w:p>
      <w:pPr>
        <w:pStyle w:val="Heading2"/>
      </w:pPr>
      <w:r>
        <w:t xml:space="preserve">Version 0.0.1</w:t>
      </w:r>
    </w:p>
    <w:p>
      <w:pPr>
        <w:pStyle w:val="Compact"/>
        <w:numPr>
          <w:ilvl w:val="0"/>
          <w:numId w:val="1003"/>
        </w:numPr>
      </w:pPr>
      <w:r>
        <w:t xml:space="preserve">Starting draft</w:t>
      </w:r>
    </w:p>
    <w:bookmarkEnd w:id="27"/>
    <w:bookmarkEnd w:id="28"/>
    <w:bookmarkStart w:id="30" w:name="draft-version"/>
    <w:p>
      <w:pPr>
        <w:pStyle w:val="Heading1"/>
      </w:pPr>
      <w:r>
        <w:t xml:space="preserve">Draft Version</w:t>
      </w:r>
    </w:p>
    <w:bookmarkStart w:id="29" w:name="ver-0.0.1"/>
    <w:p>
      <w:pPr>
        <w:pStyle w:val="Heading2"/>
      </w:pPr>
      <w:r>
        <w:t xml:space="preserve">Ver 0.0.1</w:t>
      </w:r>
    </w:p>
    <w:p>
      <w:pPr>
        <w:pStyle w:val="Compact"/>
        <w:numPr>
          <w:ilvl w:val="0"/>
          <w:numId w:val="1004"/>
        </w:numPr>
      </w:pPr>
      <w:r>
        <w:t xml:space="preserve">Starting draft</w:t>
      </w:r>
    </w:p>
    <w:bookmarkEnd w:id="29"/>
    <w:bookmarkEnd w:id="30"/>
    <w:bookmarkStart w:id="31" w:name="ideas-and-thoughts"/>
    <w:p>
      <w:pPr>
        <w:pStyle w:val="Heading1"/>
      </w:pPr>
      <w:r>
        <w:t xml:space="preserve">Ideas and Thoughts</w:t>
      </w:r>
    </w:p>
    <w:bookmarkEnd w:id="31"/>
    <w:bookmarkStart w:id="39" w:name="research-q-a"/>
    <w:p>
      <w:pPr>
        <w:pStyle w:val="Heading1"/>
      </w:pPr>
      <w:r>
        <w:t xml:space="preserve">Research Q &amp; A</w:t>
      </w:r>
    </w:p>
    <w:bookmarkStart w:id="32" w:name="Xecc4c2ca35002dc456cacd5775ed635e8d5a959"/>
    <w:p>
      <w:pPr>
        <w:pStyle w:val="Heading2"/>
      </w:pPr>
      <w:r>
        <w:t xml:space="preserve">Q1: Why</w:t>
      </w:r>
      <w:r>
        <w:t xml:space="preserve"> </w:t>
      </w:r>
      <w:r>
        <w:t xml:space="preserve">“Education Vintage”</w:t>
      </w:r>
      <w:r>
        <w:t xml:space="preserve"> </w:t>
      </w:r>
      <w:r>
        <w:t xml:space="preserve">instead of simply</w:t>
      </w:r>
      <w:r>
        <w:t xml:space="preserve"> </w:t>
      </w:r>
      <w:r>
        <w:t xml:space="preserve">“age”</w:t>
      </w:r>
      <w:r>
        <w:t xml:space="preserve">?</w:t>
      </w:r>
    </w:p>
    <w:p>
      <w:pPr>
        <w:pStyle w:val="FirstParagraph"/>
      </w:pPr>
      <w:r>
        <w:rPr>
          <w:b/>
          <w:bCs/>
        </w:rPr>
        <w:t xml:space="preserve">A</w:t>
      </w:r>
      <w:r>
        <w:t xml:space="preserve">: Age captures general experience and generational identity, but Education Vintage specifically measures the technological paradigm under which a director’s cognitive framework was formed. Two directors of the same age could have vastly different vintages if one pursued a late-career STEM degree. Vintage isolates the knowledge-relevance dimension from the broader age construct.</w:t>
      </w:r>
    </w:p>
    <w:bookmarkEnd w:id="32"/>
    <w:bookmarkStart w:id="33" w:name="Xbe2f9aea160a0832b9c7f1cd80d6e32664427b6"/>
    <w:p>
      <w:pPr>
        <w:pStyle w:val="Heading2"/>
      </w:pPr>
      <w:r>
        <w:t xml:space="preserve">Q2: Why is ChatGPT the right exogenous shock?</w:t>
      </w:r>
    </w:p>
    <w:p>
      <w:pPr>
        <w:pStyle w:val="FirstParagraph"/>
      </w:pPr>
      <w:r>
        <w:rPr>
          <w:b/>
          <w:bCs/>
        </w:rPr>
        <w:t xml:space="preserve">A</w:t>
      </w:r>
      <w:r>
        <w:t xml:space="preserve">: ChatGPT’s release (November 30, 2022) satisfies three conditions for a valid DiD shock: (1) it was discrete and identifiable, (2) it was largely unanticipated in timing and magnitude, and (3) it created a clear demarcation between pre-GenAI and post-GenAI strategic environments. Unlike gradual AI adoption, ChatGPT forced an immediate strategic response from boards.</w:t>
      </w:r>
    </w:p>
    <w:bookmarkEnd w:id="33"/>
    <w:bookmarkStart w:id="34" w:name="X6b8019645f85de37659a8f9472c03785a18e9f9"/>
    <w:p>
      <w:pPr>
        <w:pStyle w:val="Heading2"/>
      </w:pPr>
      <w:r>
        <w:t xml:space="preserve">Q3: How do you distinguish GenAI adoption from general AI adoption?</w:t>
      </w:r>
    </w:p>
    <w:p>
      <w:pPr>
        <w:pStyle w:val="FirstParagraph"/>
      </w:pPr>
      <w:r>
        <w:rPr>
          <w:b/>
          <w:bCs/>
        </w:rPr>
        <w:t xml:space="preserve">A</w:t>
      </w:r>
      <w:r>
        <w:t xml:space="preserve">: We use a validated keyword dictionary that separates GenAI-specific terms (</w:t>
      </w:r>
      <w:r>
        <w:t xml:space="preserve">“Large Language Model,”</w:t>
      </w:r>
      <w:r>
        <w:t xml:space="preserve"> </w:t>
      </w:r>
      <w:r>
        <w:t xml:space="preserve">“Transformer,”</w:t>
      </w:r>
      <w:r>
        <w:t xml:space="preserve"> </w:t>
      </w:r>
      <w:r>
        <w:t xml:space="preserve">“GPT,”</w:t>
      </w:r>
      <w:r>
        <w:t xml:space="preserve"> </w:t>
      </w:r>
      <w:r>
        <w:t xml:space="preserve">“Foundation Model”</w:t>
      </w:r>
      <w:r>
        <w:t xml:space="preserve">) from generic technology terms (</w:t>
      </w:r>
      <w:r>
        <w:t xml:space="preserve">“Big Data,”</w:t>
      </w:r>
      <w:r>
        <w:t xml:space="preserve"> </w:t>
      </w:r>
      <w:r>
        <w:t xml:space="preserve">“Cloud,”</w:t>
      </w:r>
      <w:r>
        <w:t xml:space="preserve"> </w:t>
      </w:r>
      <w:r>
        <w:t xml:space="preserve">“Machine Learning”</w:t>
      </w:r>
      <w:r>
        <w:t xml:space="preserve">). This ensures we capture the specific competence-destroying discontinuity of GenAI rather than incremental AI investment.</w:t>
      </w:r>
    </w:p>
    <w:bookmarkEnd w:id="34"/>
    <w:bookmarkStart w:id="35" w:name="X37e591d44c479d9451c4a0084632a70b3df3f52"/>
    <w:p>
      <w:pPr>
        <w:pStyle w:val="Heading2"/>
      </w:pPr>
      <w:r>
        <w:t xml:space="preserve">Q4: What about reverse causality – don’t innovative firms just hire younger directors?</w:t>
      </w:r>
    </w:p>
    <w:p>
      <w:pPr>
        <w:pStyle w:val="FirstParagraph"/>
      </w:pPr>
      <w:r>
        <w:rPr>
          <w:b/>
          <w:bCs/>
        </w:rPr>
        <w:t xml:space="preserve">A</w:t>
      </w:r>
      <w:r>
        <w:t xml:space="preserve">: This is our primary endogeneity concern. We address it through: (1) firm fixed effects controlling for time-invariant firm characteristics, (2) instrumental variable strategy using director birth year, and (3) the DiD design itself, which measures within-firm changes around an exogenous shock rather than cross-sectional correlations.</w:t>
      </w:r>
    </w:p>
    <w:bookmarkEnd w:id="35"/>
    <w:bookmarkStart w:id="36" w:name="Xfbda32bae82afea4b0898af3dcc9c42ddbc8525"/>
    <w:p>
      <w:pPr>
        <w:pStyle w:val="Heading2"/>
      </w:pPr>
      <w:r>
        <w:t xml:space="preserve">Q5: Can the Reskilling Index truly capture lifelong learning?</w:t>
      </w:r>
    </w:p>
    <w:p>
      <w:pPr>
        <w:pStyle w:val="FirstParagraph"/>
      </w:pPr>
      <w:r>
        <w:rPr>
          <w:b/>
          <w:bCs/>
        </w:rPr>
        <w:t xml:space="preserve">A</w:t>
      </w:r>
      <w:r>
        <w:t xml:space="preserve">: The Reskilling Index is an imperfect proxy. It captures formal certifications and degrees from BoardEx but misses informal learning (online courses, self-study, conference attendance). We acknowledge this limitation and suggest future research incorporating richer reskilling data.</w:t>
      </w:r>
    </w:p>
    <w:bookmarkEnd w:id="36"/>
    <w:bookmarkStart w:id="37" w:name="X5bc1bceb0b9f863a3942e280815f6f5dd6dea3f"/>
    <w:p>
      <w:pPr>
        <w:pStyle w:val="Heading2"/>
      </w:pPr>
      <w:r>
        <w:t xml:space="preserve">Q6: Why pre-2012 as the vintage cutoff for</w:t>
      </w:r>
      <w:r>
        <w:t xml:space="preserve"> </w:t>
      </w:r>
      <w:r>
        <w:t xml:space="preserve">“modern AI”</w:t>
      </w:r>
      <w:r>
        <w:t xml:space="preserve">?</w:t>
      </w:r>
    </w:p>
    <w:p>
      <w:pPr>
        <w:pStyle w:val="FirstParagraph"/>
      </w:pPr>
      <w:r>
        <w:rPr>
          <w:b/>
          <w:bCs/>
        </w:rPr>
        <w:t xml:space="preserve">A</w:t>
      </w:r>
      <w:r>
        <w:t xml:space="preserve">: 2012 marks the AlexNet breakthrough in deep learning (ImageNet competition), which fundamentally shifted the AI paradigm from rule-based/symbolic approaches to neural network/deep learning methods. This represents a natural technological discontinuity point in AI education curricula. We conduct robustness checks with alternative cutoffs (2010, 2015).</w:t>
      </w:r>
    </w:p>
    <w:bookmarkEnd w:id="37"/>
    <w:bookmarkStart w:id="38" w:name="X472986fe2e208d8cbe9048ed9a668cf1920c6af"/>
    <w:p>
      <w:pPr>
        <w:pStyle w:val="Heading2"/>
      </w:pPr>
      <w:r>
        <w:t xml:space="preserve">Q7: How does this differ from studies on board digital literacy?</w:t>
      </w:r>
    </w:p>
    <w:p>
      <w:pPr>
        <w:pStyle w:val="FirstParagraph"/>
      </w:pPr>
      <w:r>
        <w:rPr>
          <w:b/>
          <w:bCs/>
        </w:rPr>
        <w:t xml:space="preserve">A</w:t>
      </w:r>
      <w:r>
        <w:t xml:space="preserve">: Existing studies measure digital literacy as a binary (has/doesn’t have tech experience). Our contribution is adding the temporal dimension – not just whether directors have technical knowledge, but when that knowledge was acquired and whether it remains relevant to the current technological regime.</w:t>
      </w:r>
    </w:p>
    <w:bookmarkEnd w:id="38"/>
    <w:bookmarkEnd w:id="39"/>
    <w:bookmarkStart w:id="46" w:name="procedures"/>
    <w:p>
      <w:pPr>
        <w:pStyle w:val="Heading1"/>
      </w:pPr>
      <w:r>
        <w:t xml:space="preserve">Procedures</w:t>
      </w:r>
    </w:p>
    <w:bookmarkStart w:id="44" w:name="research-workflow"/>
    <w:p>
      <w:pPr>
        <w:pStyle w:val="Heading2"/>
      </w:pPr>
      <w:r>
        <w:t xml:space="preserve">Research Workflow</w:t>
      </w:r>
    </w:p>
    <w:bookmarkStart w:id="40" w:name="phase-1-literature-review-4-weeks"/>
    <w:p>
      <w:pPr>
        <w:pStyle w:val="Heading3"/>
      </w:pPr>
      <w:r>
        <w:t xml:space="preserve">Phase 1: Literature Review (4 weeks)</w:t>
      </w:r>
    </w:p>
    <w:p>
      <w:pPr>
        <w:pStyle w:val="Compact"/>
        <w:numPr>
          <w:ilvl w:val="0"/>
          <w:numId w:val="1005"/>
        </w:numPr>
      </w:pPr>
      <w:r>
        <w:t xml:space="preserve">Systematic search across Web of Science, Scopus, SSRN, NBER</w:t>
      </w:r>
    </w:p>
    <w:p>
      <w:pPr>
        <w:pStyle w:val="Compact"/>
        <w:numPr>
          <w:ilvl w:val="0"/>
          <w:numId w:val="1005"/>
        </w:numPr>
      </w:pPr>
      <w:r>
        <w:t xml:space="preserve">Three rounds of keyword-based searches (see</w:t>
      </w:r>
      <w:r>
        <w:t xml:space="preserve"> </w:t>
      </w:r>
      <w:r>
        <w:rPr>
          <w:rStyle w:val="VerbatimChar"/>
        </w:rPr>
        <w:t xml:space="preserve">lr_search_incl_excl.qmd</w:t>
      </w:r>
      <w:r>
        <w:t xml:space="preserve">)</w:t>
      </w:r>
    </w:p>
    <w:p>
      <w:pPr>
        <w:pStyle w:val="Compact"/>
        <w:numPr>
          <w:ilvl w:val="0"/>
          <w:numId w:val="1005"/>
        </w:numPr>
      </w:pPr>
      <w:r>
        <w:t xml:space="preserve">PRISMA-compliant screening and selection</w:t>
      </w:r>
    </w:p>
    <w:p>
      <w:pPr>
        <w:pStyle w:val="Compact"/>
        <w:numPr>
          <w:ilvl w:val="0"/>
          <w:numId w:val="1005"/>
        </w:numPr>
      </w:pPr>
      <w:r>
        <w:t xml:space="preserve">Literature classification (A/B/C grades)</w:t>
      </w:r>
    </w:p>
    <w:p>
      <w:pPr>
        <w:pStyle w:val="Compact"/>
        <w:numPr>
          <w:ilvl w:val="0"/>
          <w:numId w:val="1005"/>
        </w:numPr>
      </w:pPr>
      <w:r>
        <w:t xml:space="preserve">Conceptual model refinement based on literature gaps</w:t>
      </w:r>
    </w:p>
    <w:bookmarkEnd w:id="40"/>
    <w:bookmarkStart w:id="41" w:name="X1e441b9763381d0d8a21d6b88314eb1b726451b"/>
    <w:p>
      <w:pPr>
        <w:pStyle w:val="Heading3"/>
      </w:pPr>
      <w:r>
        <w:t xml:space="preserve">Phase 2: Data Collection &amp; Variable Construction (6 weeks)</w:t>
      </w:r>
    </w:p>
    <w:p>
      <w:pPr>
        <w:pStyle w:val="Compact"/>
        <w:numPr>
          <w:ilvl w:val="0"/>
          <w:numId w:val="1006"/>
        </w:numPr>
      </w:pPr>
      <w:r>
        <w:rPr>
          <w:b/>
          <w:bCs/>
        </w:rPr>
        <w:t xml:space="preserve">Week 1-2</w:t>
      </w:r>
      <w:r>
        <w:t xml:space="preserve">: Extract BoardEx education data</w:t>
      </w:r>
    </w:p>
    <w:p>
      <w:pPr>
        <w:pStyle w:val="Compact"/>
        <w:numPr>
          <w:ilvl w:val="1"/>
          <w:numId w:val="1007"/>
        </w:numPr>
      </w:pPr>
      <w:r>
        <w:t xml:space="preserve">Download director-level data with education fields</w:t>
      </w:r>
    </w:p>
    <w:p>
      <w:pPr>
        <w:pStyle w:val="Compact"/>
        <w:numPr>
          <w:ilvl w:val="1"/>
          <w:numId w:val="1007"/>
        </w:numPr>
      </w:pPr>
      <w:r>
        <w:t xml:space="preserve">Identify STEM-classified qualifications</w:t>
      </w:r>
    </w:p>
    <w:p>
      <w:pPr>
        <w:pStyle w:val="Compact"/>
        <w:numPr>
          <w:ilvl w:val="1"/>
          <w:numId w:val="1007"/>
        </w:numPr>
      </w:pPr>
      <w:r>
        <w:t xml:space="preserve">Extract AwardDate for vintage calculation</w:t>
      </w:r>
    </w:p>
    <w:p>
      <w:pPr>
        <w:pStyle w:val="Compact"/>
        <w:numPr>
          <w:ilvl w:val="0"/>
          <w:numId w:val="1006"/>
        </w:numPr>
      </w:pPr>
      <w:r>
        <w:rPr>
          <w:b/>
          <w:bCs/>
        </w:rPr>
        <w:t xml:space="preserve">Week 2-3</w:t>
      </w:r>
      <w:r>
        <w:t xml:space="preserve">: Classify STEM vs. non-STEM qualifications</w:t>
      </w:r>
    </w:p>
    <w:p>
      <w:pPr>
        <w:pStyle w:val="Compact"/>
        <w:numPr>
          <w:ilvl w:val="1"/>
          <w:numId w:val="1008"/>
        </w:numPr>
      </w:pPr>
      <w:r>
        <w:t xml:space="preserve">Create classification dictionary</w:t>
      </w:r>
    </w:p>
    <w:p>
      <w:pPr>
        <w:pStyle w:val="Compact"/>
        <w:numPr>
          <w:ilvl w:val="1"/>
          <w:numId w:val="1008"/>
        </w:numPr>
      </w:pPr>
      <w:r>
        <w:t xml:space="preserve">Manual validation of ambiguous cases</w:t>
      </w:r>
    </w:p>
    <w:p>
      <w:pPr>
        <w:pStyle w:val="Compact"/>
        <w:numPr>
          <w:ilvl w:val="1"/>
          <w:numId w:val="1008"/>
        </w:numPr>
      </w:pPr>
      <w:r>
        <w:t xml:space="preserve">Compute TKL for each STEM director</w:t>
      </w:r>
    </w:p>
    <w:p>
      <w:pPr>
        <w:pStyle w:val="Compact"/>
        <w:numPr>
          <w:ilvl w:val="0"/>
          <w:numId w:val="1006"/>
        </w:numPr>
      </w:pPr>
      <w:r>
        <w:rPr>
          <w:b/>
          <w:bCs/>
        </w:rPr>
        <w:t xml:space="preserve">Week 3-4</w:t>
      </w:r>
      <w:r>
        <w:t xml:space="preserve">: Download and parse 10-K filings</w:t>
      </w:r>
    </w:p>
    <w:p>
      <w:pPr>
        <w:pStyle w:val="Compact"/>
        <w:numPr>
          <w:ilvl w:val="1"/>
          <w:numId w:val="1009"/>
        </w:numPr>
      </w:pPr>
      <w:r>
        <w:t xml:space="preserve">Bulk download from SEC EDGAR (XBRL full-text)</w:t>
      </w:r>
    </w:p>
    <w:p>
      <w:pPr>
        <w:pStyle w:val="Compact"/>
        <w:numPr>
          <w:ilvl w:val="1"/>
          <w:numId w:val="1009"/>
        </w:numPr>
      </w:pPr>
      <w:r>
        <w:t xml:space="preserve">Extract relevant text sections (MD&amp;A, Risk Factors, Business Description)</w:t>
      </w:r>
    </w:p>
    <w:p>
      <w:pPr>
        <w:pStyle w:val="Compact"/>
        <w:numPr>
          <w:ilvl w:val="0"/>
          <w:numId w:val="1006"/>
        </w:numPr>
      </w:pPr>
      <w:r>
        <w:rPr>
          <w:b/>
          <w:bCs/>
        </w:rPr>
        <w:t xml:space="preserve">Week 4-5</w:t>
      </w:r>
      <w:r>
        <w:t xml:space="preserve">: Run GenAI keyword extraction</w:t>
      </w:r>
    </w:p>
    <w:p>
      <w:pPr>
        <w:pStyle w:val="Compact"/>
        <w:numPr>
          <w:ilvl w:val="1"/>
          <w:numId w:val="1010"/>
        </w:numPr>
      </w:pPr>
      <w:r>
        <w:t xml:space="preserve">Apply validated keyword dictionary</w:t>
      </w:r>
    </w:p>
    <w:p>
      <w:pPr>
        <w:pStyle w:val="Compact"/>
        <w:numPr>
          <w:ilvl w:val="1"/>
          <w:numId w:val="1010"/>
        </w:numPr>
      </w:pPr>
      <w:r>
        <w:t xml:space="preserve">Compute TF-IDF weighted scores</w:t>
      </w:r>
    </w:p>
    <w:p>
      <w:pPr>
        <w:pStyle w:val="Compact"/>
        <w:numPr>
          <w:ilvl w:val="1"/>
          <w:numId w:val="1010"/>
        </w:numPr>
      </w:pPr>
      <w:r>
        <w:t xml:space="preserve">Calculate AI Adoption Speed (quarters to first mention)</w:t>
      </w:r>
    </w:p>
    <w:p>
      <w:pPr>
        <w:pStyle w:val="Compact"/>
        <w:numPr>
          <w:ilvl w:val="0"/>
          <w:numId w:val="1006"/>
        </w:numPr>
      </w:pPr>
      <w:r>
        <w:rPr>
          <w:b/>
          <w:bCs/>
        </w:rPr>
        <w:t xml:space="preserve">Week 5-6</w:t>
      </w:r>
      <w:r>
        <w:t xml:space="preserve">: Merge and validate</w:t>
      </w:r>
    </w:p>
    <w:p>
      <w:pPr>
        <w:pStyle w:val="Compact"/>
        <w:numPr>
          <w:ilvl w:val="1"/>
          <w:numId w:val="1011"/>
        </w:numPr>
      </w:pPr>
      <w:r>
        <w:t xml:space="preserve">Link BoardEx -&gt; Compustat -&gt; CRSP -&gt; EDGAR via CIK/GVKEY</w:t>
      </w:r>
    </w:p>
    <w:p>
      <w:pPr>
        <w:pStyle w:val="Compact"/>
        <w:numPr>
          <w:ilvl w:val="1"/>
          <w:numId w:val="1011"/>
        </w:numPr>
      </w:pPr>
      <w:r>
        <w:t xml:space="preserve">Handle missing data (imputation for AwardDate)</w:t>
      </w:r>
    </w:p>
    <w:p>
      <w:pPr>
        <w:pStyle w:val="Compact"/>
        <w:numPr>
          <w:ilvl w:val="1"/>
          <w:numId w:val="1011"/>
        </w:numPr>
      </w:pPr>
      <w:r>
        <w:t xml:space="preserve">Construct panel dataset (firm-quarter)</w:t>
      </w:r>
    </w:p>
    <w:p>
      <w:pPr>
        <w:pStyle w:val="Compact"/>
        <w:numPr>
          <w:ilvl w:val="1"/>
          <w:numId w:val="1011"/>
        </w:numPr>
      </w:pPr>
      <w:r>
        <w:t xml:space="preserve">Winsorize outliers (1st/99th percentile)</w:t>
      </w:r>
    </w:p>
    <w:bookmarkEnd w:id="41"/>
    <w:bookmarkStart w:id="42" w:name="phase-3-empirical-analysis-4-weeks"/>
    <w:p>
      <w:pPr>
        <w:pStyle w:val="Heading3"/>
      </w:pPr>
      <w:r>
        <w:t xml:space="preserve">Phase 3: Empirical Analysis (4 weeks)</w:t>
      </w:r>
    </w:p>
    <w:p>
      <w:pPr>
        <w:pStyle w:val="Compact"/>
        <w:numPr>
          <w:ilvl w:val="0"/>
          <w:numId w:val="1012"/>
        </w:numPr>
      </w:pPr>
      <w:r>
        <w:rPr>
          <w:b/>
          <w:bCs/>
        </w:rPr>
        <w:t xml:space="preserve">Week 1</w:t>
      </w:r>
      <w:r>
        <w:t xml:space="preserve">: Descriptive statistics and correlations</w:t>
      </w:r>
    </w:p>
    <w:p>
      <w:pPr>
        <w:pStyle w:val="Compact"/>
        <w:numPr>
          <w:ilvl w:val="1"/>
          <w:numId w:val="1013"/>
        </w:numPr>
      </w:pPr>
      <w:r>
        <w:t xml:space="preserve">Sample composition by vintage category</w:t>
      </w:r>
    </w:p>
    <w:p>
      <w:pPr>
        <w:pStyle w:val="Compact"/>
        <w:numPr>
          <w:ilvl w:val="1"/>
          <w:numId w:val="1013"/>
        </w:numPr>
      </w:pPr>
      <w:r>
        <w:t xml:space="preserve">Industry distribution</w:t>
      </w:r>
    </w:p>
    <w:p>
      <w:pPr>
        <w:pStyle w:val="Compact"/>
        <w:numPr>
          <w:ilvl w:val="1"/>
          <w:numId w:val="1013"/>
        </w:numPr>
      </w:pPr>
      <w:r>
        <w:t xml:space="preserve">Temporal trends in GenAI adoption</w:t>
      </w:r>
    </w:p>
    <w:p>
      <w:pPr>
        <w:pStyle w:val="Compact"/>
        <w:numPr>
          <w:ilvl w:val="0"/>
          <w:numId w:val="1012"/>
        </w:numPr>
      </w:pPr>
      <w:r>
        <w:rPr>
          <w:b/>
          <w:bCs/>
        </w:rPr>
        <w:t xml:space="preserve">Week 2</w:t>
      </w:r>
      <w:r>
        <w:t xml:space="preserve">: Main DiD estimation</w:t>
      </w:r>
    </w:p>
    <w:p>
      <w:pPr>
        <w:pStyle w:val="Compact"/>
        <w:numPr>
          <w:ilvl w:val="1"/>
          <w:numId w:val="1014"/>
        </w:numPr>
      </w:pPr>
      <w:r>
        <w:t xml:space="preserve">Triple DiD model (H1)</w:t>
      </w:r>
    </w:p>
    <w:p>
      <w:pPr>
        <w:pStyle w:val="Compact"/>
        <w:numPr>
          <w:ilvl w:val="1"/>
          <w:numId w:val="1014"/>
        </w:numPr>
      </w:pPr>
      <w:r>
        <w:t xml:space="preserve">Tech Committee interaction (H2)</w:t>
      </w:r>
    </w:p>
    <w:p>
      <w:pPr>
        <w:pStyle w:val="Compact"/>
        <w:numPr>
          <w:ilvl w:val="1"/>
          <w:numId w:val="1014"/>
        </w:numPr>
      </w:pPr>
      <w:r>
        <w:t xml:space="preserve">Vintage faultline analysis (H3)</w:t>
      </w:r>
    </w:p>
    <w:p>
      <w:pPr>
        <w:pStyle w:val="Compact"/>
        <w:numPr>
          <w:ilvl w:val="1"/>
          <w:numId w:val="1014"/>
        </w:numPr>
      </w:pPr>
      <w:r>
        <w:t xml:space="preserve">Reskilling moderation (H4)</w:t>
      </w:r>
    </w:p>
    <w:p>
      <w:pPr>
        <w:pStyle w:val="Compact"/>
        <w:numPr>
          <w:ilvl w:val="0"/>
          <w:numId w:val="1012"/>
        </w:numPr>
      </w:pPr>
      <w:r>
        <w:rPr>
          <w:b/>
          <w:bCs/>
        </w:rPr>
        <w:t xml:space="preserve">Week 3</w:t>
      </w:r>
      <w:r>
        <w:t xml:space="preserve">: Robustness and supplementary analyses</w:t>
      </w:r>
    </w:p>
    <w:p>
      <w:pPr>
        <w:pStyle w:val="Compact"/>
        <w:numPr>
          <w:ilvl w:val="1"/>
          <w:numId w:val="1015"/>
        </w:numPr>
      </w:pPr>
      <w:r>
        <w:t xml:space="preserve">Event study (parallel trends verification)</w:t>
      </w:r>
    </w:p>
    <w:p>
      <w:pPr>
        <w:pStyle w:val="Compact"/>
        <w:numPr>
          <w:ilvl w:val="1"/>
          <w:numId w:val="1015"/>
        </w:numPr>
      </w:pPr>
      <w:r>
        <w:t xml:space="preserve">IV estimation (birth year instrument)</w:t>
      </w:r>
    </w:p>
    <w:p>
      <w:pPr>
        <w:pStyle w:val="Compact"/>
        <w:numPr>
          <w:ilvl w:val="1"/>
          <w:numId w:val="1015"/>
        </w:numPr>
      </w:pPr>
      <w:r>
        <w:t xml:space="preserve">Placebo tests (non-GenAI technologies)</w:t>
      </w:r>
    </w:p>
    <w:p>
      <w:pPr>
        <w:pStyle w:val="Compact"/>
        <w:numPr>
          <w:ilvl w:val="1"/>
          <w:numId w:val="1015"/>
        </w:numPr>
      </w:pPr>
      <w:r>
        <w:t xml:space="preserve">Alternative vintage cutoffs (2010, 2012, 2015)</w:t>
      </w:r>
    </w:p>
    <w:p>
      <w:pPr>
        <w:pStyle w:val="Compact"/>
        <w:numPr>
          <w:ilvl w:val="1"/>
          <w:numId w:val="1015"/>
        </w:numPr>
      </w:pPr>
      <w:r>
        <w:t xml:space="preserve">Heterogeneity by industry and firm size</w:t>
      </w:r>
    </w:p>
    <w:p>
      <w:pPr>
        <w:pStyle w:val="Compact"/>
        <w:numPr>
          <w:ilvl w:val="0"/>
          <w:numId w:val="1012"/>
        </w:numPr>
      </w:pPr>
      <w:r>
        <w:rPr>
          <w:b/>
          <w:bCs/>
        </w:rPr>
        <w:t xml:space="preserve">Week 4</w:t>
      </w:r>
      <w:r>
        <w:t xml:space="preserve">: Results compilation</w:t>
      </w:r>
    </w:p>
    <w:p>
      <w:pPr>
        <w:pStyle w:val="Compact"/>
        <w:numPr>
          <w:ilvl w:val="1"/>
          <w:numId w:val="1016"/>
        </w:numPr>
      </w:pPr>
      <w:r>
        <w:t xml:space="preserve">Tables and figures</w:t>
      </w:r>
    </w:p>
    <w:p>
      <w:pPr>
        <w:pStyle w:val="Compact"/>
        <w:numPr>
          <w:ilvl w:val="1"/>
          <w:numId w:val="1016"/>
        </w:numPr>
      </w:pPr>
      <w:r>
        <w:t xml:space="preserve">Sensitivity analysis summary</w:t>
      </w:r>
    </w:p>
    <w:p>
      <w:pPr>
        <w:pStyle w:val="Compact"/>
        <w:numPr>
          <w:ilvl w:val="1"/>
          <w:numId w:val="1016"/>
        </w:numPr>
      </w:pPr>
      <w:r>
        <w:t xml:space="preserve">Effect size interpretation</w:t>
      </w:r>
    </w:p>
    <w:bookmarkEnd w:id="42"/>
    <w:bookmarkStart w:id="43" w:name="phase-4-writing-submission-4-weeks"/>
    <w:p>
      <w:pPr>
        <w:pStyle w:val="Heading3"/>
      </w:pPr>
      <w:r>
        <w:t xml:space="preserve">Phase 4: Writing &amp; Submission (4 weeks)</w:t>
      </w:r>
    </w:p>
    <w:p>
      <w:pPr>
        <w:pStyle w:val="Compact"/>
        <w:numPr>
          <w:ilvl w:val="0"/>
          <w:numId w:val="1017"/>
        </w:numPr>
      </w:pPr>
      <w:r>
        <w:rPr>
          <w:b/>
          <w:bCs/>
        </w:rPr>
        <w:t xml:space="preserve">Week 1</w:t>
      </w:r>
      <w:r>
        <w:t xml:space="preserve">: Draft Introduction, Theory, Hypotheses</w:t>
      </w:r>
    </w:p>
    <w:p>
      <w:pPr>
        <w:pStyle w:val="Compact"/>
        <w:numPr>
          <w:ilvl w:val="0"/>
          <w:numId w:val="1017"/>
        </w:numPr>
      </w:pPr>
      <w:r>
        <w:rPr>
          <w:b/>
          <w:bCs/>
        </w:rPr>
        <w:t xml:space="preserve">Week 2</w:t>
      </w:r>
      <w:r>
        <w:t xml:space="preserve">: Draft Method, Results</w:t>
      </w:r>
    </w:p>
    <w:p>
      <w:pPr>
        <w:pStyle w:val="Compact"/>
        <w:numPr>
          <w:ilvl w:val="0"/>
          <w:numId w:val="1017"/>
        </w:numPr>
      </w:pPr>
      <w:r>
        <w:rPr>
          <w:b/>
          <w:bCs/>
        </w:rPr>
        <w:t xml:space="preserve">Week 3</w:t>
      </w:r>
      <w:r>
        <w:t xml:space="preserve">: Draft Discussion, Conclusion</w:t>
      </w:r>
    </w:p>
    <w:p>
      <w:pPr>
        <w:pStyle w:val="Compact"/>
        <w:numPr>
          <w:ilvl w:val="0"/>
          <w:numId w:val="1017"/>
        </w:numPr>
      </w:pPr>
      <w:r>
        <w:rPr>
          <w:b/>
          <w:bCs/>
        </w:rPr>
        <w:t xml:space="preserve">Week 4</w:t>
      </w:r>
      <w:r>
        <w:t xml:space="preserve">: Internal review, revision, journal formatting</w:t>
      </w:r>
    </w:p>
    <w:bookmarkEnd w:id="43"/>
    <w:bookmarkEnd w:id="44"/>
    <w:bookmarkStart w:id="45" w:name="quality-checkpoints"/>
    <w:p>
      <w:pPr>
        <w:pStyle w:val="Heading2"/>
      </w:pPr>
      <w:r>
        <w:t xml:space="preserve">Quality Checkpoints</w:t>
      </w:r>
    </w:p>
    <w:tbl>
      <w:tblPr>
        <w:tblStyle w:val="Table"/>
        <w:tblW w:type="pct" w:w="5000"/>
        <w:tblLayout w:type="fixed"/>
        <w:tblLook w:firstRow="1" w:lastRow="0" w:firstColumn="0" w:lastColumn="0" w:noHBand="0" w:noVBand="0" w:val="0020"/>
      </w:tblPr>
      <w:tblGrid>
        <w:gridCol w:w="3111"/>
        <w:gridCol w:w="2828"/>
        <w:gridCol w:w="1980"/>
      </w:tblGrid>
      <w:tr>
        <w:trPr>
          <w:tblHeader w:val="on"/>
        </w:trPr>
        <w:tc>
          <w:tcPr/>
          <w:p>
            <w:pPr>
              <w:pStyle w:val="Compact"/>
            </w:pPr>
            <w:r>
              <w:t xml:space="preserve">Checkpoint</w:t>
            </w:r>
          </w:p>
        </w:tc>
        <w:tc>
          <w:tcPr/>
          <w:p>
            <w:pPr>
              <w:pStyle w:val="Compact"/>
            </w:pPr>
            <w:r>
              <w:t xml:space="preserve">Criteria</w:t>
            </w:r>
          </w:p>
        </w:tc>
        <w:tc>
          <w:tcPr/>
          <w:p>
            <w:pPr>
              <w:pStyle w:val="Compact"/>
            </w:pPr>
            <w:r>
              <w:t xml:space="preserve">Phase</w:t>
            </w:r>
          </w:p>
        </w:tc>
      </w:tr>
      <w:tr>
        <w:tc>
          <w:tcPr/>
          <w:p>
            <w:pPr>
              <w:pStyle w:val="Compact"/>
            </w:pPr>
            <w:r>
              <w:t xml:space="preserve">Literature saturation</w:t>
            </w:r>
          </w:p>
        </w:tc>
        <w:tc>
          <w:tcPr/>
          <w:p>
            <w:pPr>
              <w:pStyle w:val="Compact"/>
            </w:pPr>
            <w:r>
              <w:t xml:space="preserve">No new themes emerging in final round</w:t>
            </w:r>
          </w:p>
        </w:tc>
        <w:tc>
          <w:tcPr/>
          <w:p>
            <w:pPr>
              <w:pStyle w:val="Compact"/>
            </w:pPr>
            <w:r>
              <w:t xml:space="preserve">Phase 1</w:t>
            </w:r>
          </w:p>
        </w:tc>
      </w:tr>
      <w:tr>
        <w:tc>
          <w:tcPr/>
          <w:p>
            <w:pPr>
              <w:pStyle w:val="Compact"/>
            </w:pPr>
            <w:r>
              <w:t xml:space="preserve">Data validation</w:t>
            </w:r>
          </w:p>
        </w:tc>
        <w:tc>
          <w:tcPr/>
          <w:p>
            <w:pPr>
              <w:pStyle w:val="Compact"/>
            </w:pPr>
            <w:r>
              <w:t xml:space="preserve">&lt;5% imputation rate for AwardDate</w:t>
            </w:r>
          </w:p>
        </w:tc>
        <w:tc>
          <w:tcPr/>
          <w:p>
            <w:pPr>
              <w:pStyle w:val="Compact"/>
            </w:pPr>
            <w:r>
              <w:t xml:space="preserve">Phase 2</w:t>
            </w:r>
          </w:p>
        </w:tc>
      </w:tr>
      <w:tr>
        <w:tc>
          <w:tcPr/>
          <w:p>
            <w:pPr>
              <w:pStyle w:val="Compact"/>
            </w:pPr>
            <w:r>
              <w:t xml:space="preserve">Parallel trends</w:t>
            </w:r>
          </w:p>
        </w:tc>
        <w:tc>
          <w:tcPr/>
          <w:p>
            <w:pPr>
              <w:pStyle w:val="Compact"/>
            </w:pPr>
            <w:r>
              <w:t xml:space="preserve">Non-significant pre-treatment coefficients</w:t>
            </w:r>
          </w:p>
        </w:tc>
        <w:tc>
          <w:tcPr/>
          <w:p>
            <w:pPr>
              <w:pStyle w:val="Compact"/>
            </w:pPr>
            <w:r>
              <w:t xml:space="preserve">Phase 3</w:t>
            </w:r>
          </w:p>
        </w:tc>
      </w:tr>
      <w:tr>
        <w:tc>
          <w:tcPr/>
          <w:p>
            <w:pPr>
              <w:pStyle w:val="Compact"/>
            </w:pPr>
            <w:r>
              <w:t xml:space="preserve">Robustness</w:t>
            </w:r>
          </w:p>
        </w:tc>
        <w:tc>
          <w:tcPr/>
          <w:p>
            <w:pPr>
              <w:pStyle w:val="Compact"/>
            </w:pPr>
            <w:r>
              <w:t xml:space="preserve">Results stable across alternative specifications</w:t>
            </w:r>
          </w:p>
        </w:tc>
        <w:tc>
          <w:tcPr/>
          <w:p>
            <w:pPr>
              <w:pStyle w:val="Compact"/>
            </w:pPr>
            <w:r>
              <w:t xml:space="preserve">Phase 3</w:t>
            </w:r>
          </w:p>
        </w:tc>
      </w:tr>
      <w:tr>
        <w:tc>
          <w:tcPr/>
          <w:p>
            <w:pPr>
              <w:pStyle w:val="Compact"/>
            </w:pPr>
            <w:r>
              <w:t xml:space="preserve">Internal review</w:t>
            </w:r>
          </w:p>
        </w:tc>
        <w:tc>
          <w:tcPr/>
          <w:p>
            <w:pPr>
              <w:pStyle w:val="Compact"/>
            </w:pPr>
            <w:r>
              <w:t xml:space="preserve">Co-author sign-off on all sections</w:t>
            </w:r>
          </w:p>
        </w:tc>
        <w:tc>
          <w:tcPr/>
          <w:p>
            <w:pPr>
              <w:pStyle w:val="Compact"/>
            </w:pPr>
            <w:r>
              <w:t xml:space="preserve">Phase 4</w:t>
            </w:r>
          </w:p>
        </w:tc>
      </w:tr>
    </w:tbl>
    <w:bookmarkEnd w:id="45"/>
    <w:bookmarkEnd w:id="46"/>
    <w:bookmarkStart w:id="58" w:name="related-theories"/>
    <w:p>
      <w:pPr>
        <w:pStyle w:val="Heading1"/>
      </w:pPr>
      <w:r>
        <w:t xml:space="preserve">Related Theories</w:t>
      </w:r>
    </w:p>
    <w:bookmarkStart w:id="50" w:name="primary-theories-currently-employed"/>
    <w:p>
      <w:pPr>
        <w:pStyle w:val="Heading2"/>
      </w:pPr>
      <w:r>
        <w:t xml:space="preserve">Primary Theories (Currently Employed)</w:t>
      </w:r>
    </w:p>
    <w:bookmarkStart w:id="47" w:name="resource-dependence-theory-rdt"/>
    <w:p>
      <w:pPr>
        <w:pStyle w:val="Heading3"/>
      </w:pPr>
      <w:r>
        <w:t xml:space="preserve">1. Resource Dependence Theory (RDT)</w:t>
      </w:r>
    </w:p>
    <w:p>
      <w:pPr>
        <w:pStyle w:val="Compact"/>
        <w:numPr>
          <w:ilvl w:val="0"/>
          <w:numId w:val="1018"/>
        </w:numPr>
      </w:pPr>
      <w:r>
        <w:rPr>
          <w:b/>
          <w:bCs/>
        </w:rPr>
        <w:t xml:space="preserve">Origin</w:t>
      </w:r>
      <w:r>
        <w:t xml:space="preserve">: Pfeffer &amp; Salancik (1978)</w:t>
      </w:r>
    </w:p>
    <w:p>
      <w:pPr>
        <w:pStyle w:val="Compact"/>
        <w:numPr>
          <w:ilvl w:val="0"/>
          <w:numId w:val="1018"/>
        </w:numPr>
      </w:pPr>
      <w:r>
        <w:rPr>
          <w:b/>
          <w:bCs/>
        </w:rPr>
        <w:t xml:space="preserve">Core idea</w:t>
      </w:r>
      <w:r>
        <w:t xml:space="preserve">: Organizations must interact with their environment to acquire critical resources; boards manage these dependencies</w:t>
      </w:r>
    </w:p>
    <w:p>
      <w:pPr>
        <w:pStyle w:val="Compact"/>
        <w:numPr>
          <w:ilvl w:val="0"/>
          <w:numId w:val="1018"/>
        </w:numPr>
      </w:pPr>
      <w:r>
        <w:rPr>
          <w:b/>
          <w:bCs/>
        </w:rPr>
        <w:t xml:space="preserve">Application</w:t>
      </w:r>
      <w:r>
        <w:t xml:space="preserve">: Directors provide technical expertise as a resource to reduce environmental uncertainty</w:t>
      </w:r>
    </w:p>
    <w:p>
      <w:pPr>
        <w:pStyle w:val="Compact"/>
        <w:numPr>
          <w:ilvl w:val="0"/>
          <w:numId w:val="1018"/>
        </w:numPr>
      </w:pPr>
      <w:r>
        <w:rPr>
          <w:b/>
          <w:bCs/>
        </w:rPr>
        <w:t xml:space="preserve">Extension in this study</w:t>
      </w:r>
      <w:r>
        <w:t xml:space="preserve">: Introduction of</w:t>
      </w:r>
      <w:r>
        <w:t xml:space="preserve"> </w:t>
      </w:r>
      <w:r>
        <w:t xml:space="preserve">“Resource Fossilization”</w:t>
      </w:r>
      <w:r>
        <w:t xml:space="preserve"> </w:t>
      </w:r>
      <w:r>
        <w:t xml:space="preserve">and temporal validity constraint</w:t>
      </w:r>
    </w:p>
    <w:bookmarkEnd w:id="47"/>
    <w:bookmarkStart w:id="48" w:name="human-capital-theory"/>
    <w:p>
      <w:pPr>
        <w:pStyle w:val="Heading3"/>
      </w:pPr>
      <w:r>
        <w:t xml:space="preserve">2. Human Capital Theory</w:t>
      </w:r>
    </w:p>
    <w:p>
      <w:pPr>
        <w:pStyle w:val="Compact"/>
        <w:numPr>
          <w:ilvl w:val="0"/>
          <w:numId w:val="1019"/>
        </w:numPr>
      </w:pPr>
      <w:r>
        <w:rPr>
          <w:b/>
          <w:bCs/>
        </w:rPr>
        <w:t xml:space="preserve">Origin</w:t>
      </w:r>
      <w:r>
        <w:t xml:space="preserve">: Becker (1964)</w:t>
      </w:r>
    </w:p>
    <w:p>
      <w:pPr>
        <w:pStyle w:val="Compact"/>
        <w:numPr>
          <w:ilvl w:val="0"/>
          <w:numId w:val="1019"/>
        </w:numPr>
      </w:pPr>
      <w:r>
        <w:rPr>
          <w:b/>
          <w:bCs/>
        </w:rPr>
        <w:t xml:space="preserve">Core idea</w:t>
      </w:r>
      <w:r>
        <w:t xml:space="preserve">: Education is an investment with returns; knowledge is an asset</w:t>
      </w:r>
    </w:p>
    <w:p>
      <w:pPr>
        <w:pStyle w:val="Compact"/>
        <w:numPr>
          <w:ilvl w:val="0"/>
          <w:numId w:val="1019"/>
        </w:numPr>
      </w:pPr>
      <w:r>
        <w:rPr>
          <w:b/>
          <w:bCs/>
        </w:rPr>
        <w:t xml:space="preserve">Application</w:t>
      </w:r>
      <w:r>
        <w:t xml:space="preserve">: Education vintage determines the depreciation rate of technical human capital</w:t>
      </w:r>
    </w:p>
    <w:p>
      <w:pPr>
        <w:pStyle w:val="Compact"/>
        <w:numPr>
          <w:ilvl w:val="0"/>
          <w:numId w:val="1019"/>
        </w:numPr>
      </w:pPr>
      <w:r>
        <w:rPr>
          <w:b/>
          <w:bCs/>
        </w:rPr>
        <w:t xml:space="preserve">Key insight</w:t>
      </w:r>
      <w:r>
        <w:t xml:space="preserve">: Half-life of engineering knowledge is 2.5-5 years (Shearer &amp; Steger, 1975)</w:t>
      </w:r>
    </w:p>
    <w:bookmarkEnd w:id="48"/>
    <w:bookmarkStart w:id="49" w:name="technological-discontinuities-theory"/>
    <w:p>
      <w:pPr>
        <w:pStyle w:val="Heading3"/>
      </w:pPr>
      <w:r>
        <w:t xml:space="preserve">3. Technological Discontinuities Theory</w:t>
      </w:r>
    </w:p>
    <w:p>
      <w:pPr>
        <w:pStyle w:val="Compact"/>
        <w:numPr>
          <w:ilvl w:val="0"/>
          <w:numId w:val="1020"/>
        </w:numPr>
      </w:pPr>
      <w:r>
        <w:rPr>
          <w:b/>
          <w:bCs/>
        </w:rPr>
        <w:t xml:space="preserve">Origin</w:t>
      </w:r>
      <w:r>
        <w:t xml:space="preserve">: Anderson &amp; Tushman (1990, 2018)</w:t>
      </w:r>
    </w:p>
    <w:p>
      <w:pPr>
        <w:pStyle w:val="Compact"/>
        <w:numPr>
          <w:ilvl w:val="0"/>
          <w:numId w:val="1020"/>
        </w:numPr>
      </w:pPr>
      <w:r>
        <w:rPr>
          <w:b/>
          <w:bCs/>
        </w:rPr>
        <w:t xml:space="preserve">Core idea</w:t>
      </w:r>
      <w:r>
        <w:t xml:space="preserve">: Distinguishes competence-enhancing from competence-destroying technological change</w:t>
      </w:r>
    </w:p>
    <w:p>
      <w:pPr>
        <w:pStyle w:val="Compact"/>
        <w:numPr>
          <w:ilvl w:val="0"/>
          <w:numId w:val="1020"/>
        </w:numPr>
      </w:pPr>
      <w:r>
        <w:rPr>
          <w:b/>
          <w:bCs/>
        </w:rPr>
        <w:t xml:space="preserve">Application</w:t>
      </w:r>
      <w:r>
        <w:t xml:space="preserve">: GenAI is a competence-destroying discontinuity for traditional IT governance</w:t>
      </w:r>
    </w:p>
    <w:bookmarkEnd w:id="49"/>
    <w:bookmarkEnd w:id="50"/>
    <w:bookmarkStart w:id="57" w:name="supplementary-theories-proposed"/>
    <w:p>
      <w:pPr>
        <w:pStyle w:val="Heading2"/>
      </w:pPr>
      <w:r>
        <w:t xml:space="preserve">Supplementary Theories (Proposed)</w:t>
      </w:r>
    </w:p>
    <w:bookmarkStart w:id="51" w:name="upper-echelons-theory"/>
    <w:p>
      <w:pPr>
        <w:pStyle w:val="Heading3"/>
      </w:pPr>
      <w:r>
        <w:t xml:space="preserve">4. Upper Echelons Theory</w:t>
      </w:r>
    </w:p>
    <w:p>
      <w:pPr>
        <w:pStyle w:val="Compact"/>
        <w:numPr>
          <w:ilvl w:val="0"/>
          <w:numId w:val="1021"/>
        </w:numPr>
      </w:pPr>
      <w:r>
        <w:rPr>
          <w:b/>
          <w:bCs/>
        </w:rPr>
        <w:t xml:space="preserve">Origin</w:t>
      </w:r>
      <w:r>
        <w:t xml:space="preserve">: Hambrick &amp; Mason (1984)</w:t>
      </w:r>
    </w:p>
    <w:p>
      <w:pPr>
        <w:pStyle w:val="Compact"/>
        <w:numPr>
          <w:ilvl w:val="0"/>
          <w:numId w:val="1021"/>
        </w:numPr>
      </w:pPr>
      <w:r>
        <w:rPr>
          <w:b/>
          <w:bCs/>
        </w:rPr>
        <w:t xml:space="preserve">Core idea</w:t>
      </w:r>
      <w:r>
        <w:t xml:space="preserve">: Strategic choices reflect executives’ cognitive bases shaped by their backgrounds</w:t>
      </w:r>
    </w:p>
    <w:p>
      <w:pPr>
        <w:pStyle w:val="Compact"/>
        <w:numPr>
          <w:ilvl w:val="0"/>
          <w:numId w:val="1021"/>
        </w:numPr>
      </w:pPr>
      <w:r>
        <w:rPr>
          <w:b/>
          <w:bCs/>
        </w:rPr>
        <w:t xml:space="preserve">Application</w:t>
      </w:r>
      <w:r>
        <w:t xml:space="preserve">: Education timing forms cognitive frames that determine how directors interpret and respond to GenAI</w:t>
      </w:r>
    </w:p>
    <w:p>
      <w:pPr>
        <w:pStyle w:val="Compact"/>
        <w:numPr>
          <w:ilvl w:val="0"/>
          <w:numId w:val="1021"/>
        </w:numPr>
      </w:pPr>
      <w:r>
        <w:rPr>
          <w:b/>
          <w:bCs/>
        </w:rPr>
        <w:t xml:space="preserve">Relevance</w:t>
      </w:r>
      <w:r>
        <w:t xml:space="preserve">: Explains why vintage matters – educational era creates lasting cognitive imprints</w:t>
      </w:r>
    </w:p>
    <w:bookmarkEnd w:id="51"/>
    <w:bookmarkStart w:id="52" w:name="absorptive-capacity"/>
    <w:p>
      <w:pPr>
        <w:pStyle w:val="Heading3"/>
      </w:pPr>
      <w:r>
        <w:t xml:space="preserve">5. Absorptive Capacity</w:t>
      </w:r>
    </w:p>
    <w:p>
      <w:pPr>
        <w:pStyle w:val="Compact"/>
        <w:numPr>
          <w:ilvl w:val="0"/>
          <w:numId w:val="1022"/>
        </w:numPr>
      </w:pPr>
      <w:r>
        <w:rPr>
          <w:b/>
          <w:bCs/>
        </w:rPr>
        <w:t xml:space="preserve">Origin</w:t>
      </w:r>
      <w:r>
        <w:t xml:space="preserve">: Cohen &amp; Levinthal (1990)</w:t>
      </w:r>
    </w:p>
    <w:p>
      <w:pPr>
        <w:pStyle w:val="Compact"/>
        <w:numPr>
          <w:ilvl w:val="0"/>
          <w:numId w:val="1022"/>
        </w:numPr>
      </w:pPr>
      <w:r>
        <w:rPr>
          <w:b/>
          <w:bCs/>
        </w:rPr>
        <w:t xml:space="preserve">Core idea</w:t>
      </w:r>
      <w:r>
        <w:t xml:space="preserve">: A firm’s ability to absorb new knowledge depends on related prior knowledge</w:t>
      </w:r>
    </w:p>
    <w:p>
      <w:pPr>
        <w:pStyle w:val="Compact"/>
        <w:numPr>
          <w:ilvl w:val="0"/>
          <w:numId w:val="1022"/>
        </w:numPr>
      </w:pPr>
      <w:r>
        <w:rPr>
          <w:b/>
          <w:bCs/>
        </w:rPr>
        <w:t xml:space="preserve">Application</w:t>
      </w:r>
      <w:r>
        <w:t xml:space="preserve">: Temporal dimension of</w:t>
      </w:r>
      <w:r>
        <w:t xml:space="preserve"> </w:t>
      </w:r>
      <w:r>
        <w:t xml:space="preserve">“related prior knowledge”</w:t>
      </w:r>
      <w:r>
        <w:t xml:space="preserve"> </w:t>
      </w:r>
      <w:r>
        <w:t xml:space="preserve">– outdated technical education weakens capacity to absorb GenAI-related new knowledge</w:t>
      </w:r>
    </w:p>
    <w:p>
      <w:pPr>
        <w:pStyle w:val="Compact"/>
        <w:numPr>
          <w:ilvl w:val="0"/>
          <w:numId w:val="1022"/>
        </w:numPr>
      </w:pPr>
      <w:r>
        <w:rPr>
          <w:b/>
          <w:bCs/>
        </w:rPr>
        <w:t xml:space="preserve">Relevance</w:t>
      </w:r>
      <w:r>
        <w:t xml:space="preserve">: Supports H1 – recent vintage directors face lower absorption costs</w:t>
      </w:r>
    </w:p>
    <w:bookmarkEnd w:id="52"/>
    <w:bookmarkStart w:id="53" w:name="dynamic-capabilities"/>
    <w:p>
      <w:pPr>
        <w:pStyle w:val="Heading3"/>
      </w:pPr>
      <w:r>
        <w:t xml:space="preserve">6. Dynamic Capabilities</w:t>
      </w:r>
    </w:p>
    <w:p>
      <w:pPr>
        <w:pStyle w:val="Compact"/>
        <w:numPr>
          <w:ilvl w:val="0"/>
          <w:numId w:val="1023"/>
        </w:numPr>
      </w:pPr>
      <w:r>
        <w:rPr>
          <w:b/>
          <w:bCs/>
        </w:rPr>
        <w:t xml:space="preserve">Origin</w:t>
      </w:r>
      <w:r>
        <w:t xml:space="preserve">: Teece (2007)</w:t>
      </w:r>
    </w:p>
    <w:p>
      <w:pPr>
        <w:pStyle w:val="Compact"/>
        <w:numPr>
          <w:ilvl w:val="0"/>
          <w:numId w:val="1023"/>
        </w:numPr>
      </w:pPr>
      <w:r>
        <w:rPr>
          <w:b/>
          <w:bCs/>
        </w:rPr>
        <w:t xml:space="preserve">Core idea</w:t>
      </w:r>
      <w:r>
        <w:t xml:space="preserve">: Sensing-Seizing-Transforming framework for organizational adaptation</w:t>
      </w:r>
    </w:p>
    <w:p>
      <w:pPr>
        <w:pStyle w:val="Compact"/>
        <w:numPr>
          <w:ilvl w:val="0"/>
          <w:numId w:val="1023"/>
        </w:numPr>
      </w:pPr>
      <w:r>
        <w:rPr>
          <w:b/>
          <w:bCs/>
        </w:rPr>
        <w:t xml:space="preserve">Application</w:t>
      </w:r>
      <w:r>
        <w:t xml:space="preserve">: Board’s</w:t>
      </w:r>
      <w:r>
        <w:t xml:space="preserve"> </w:t>
      </w:r>
      <w:r>
        <w:t xml:space="preserve">“sensing”</w:t>
      </w:r>
      <w:r>
        <w:t xml:space="preserve"> </w:t>
      </w:r>
      <w:r>
        <w:t xml:space="preserve">capability varies with education vintage</w:t>
      </w:r>
    </w:p>
    <w:p>
      <w:pPr>
        <w:pStyle w:val="Compact"/>
        <w:numPr>
          <w:ilvl w:val="0"/>
          <w:numId w:val="1023"/>
        </w:numPr>
      </w:pPr>
      <w:r>
        <w:rPr>
          <w:b/>
          <w:bCs/>
        </w:rPr>
        <w:t xml:space="preserve">Relevance</w:t>
      </w:r>
      <w:r>
        <w:t xml:space="preserve">: Complements RDT’s static limitations with a dynamic perspective</w:t>
      </w:r>
    </w:p>
    <w:bookmarkEnd w:id="53"/>
    <w:bookmarkStart w:id="54" w:name="institutional-theory"/>
    <w:p>
      <w:pPr>
        <w:pStyle w:val="Heading3"/>
      </w:pPr>
      <w:r>
        <w:t xml:space="preserve">7. Institutional Theory</w:t>
      </w:r>
    </w:p>
    <w:p>
      <w:pPr>
        <w:pStyle w:val="Compact"/>
        <w:numPr>
          <w:ilvl w:val="0"/>
          <w:numId w:val="1024"/>
        </w:numPr>
      </w:pPr>
      <w:r>
        <w:rPr>
          <w:b/>
          <w:bCs/>
        </w:rPr>
        <w:t xml:space="preserve">Origin</w:t>
      </w:r>
      <w:r>
        <w:t xml:space="preserve">: DiMaggio &amp; Powell (1983)</w:t>
      </w:r>
    </w:p>
    <w:p>
      <w:pPr>
        <w:pStyle w:val="Compact"/>
        <w:numPr>
          <w:ilvl w:val="0"/>
          <w:numId w:val="1024"/>
        </w:numPr>
      </w:pPr>
      <w:r>
        <w:rPr>
          <w:b/>
          <w:bCs/>
        </w:rPr>
        <w:t xml:space="preserve">Core idea</w:t>
      </w:r>
      <w:r>
        <w:t xml:space="preserve">: Organizations adopt structures for legitimacy, not just efficiency</w:t>
      </w:r>
    </w:p>
    <w:p>
      <w:pPr>
        <w:pStyle w:val="Compact"/>
        <w:numPr>
          <w:ilvl w:val="0"/>
          <w:numId w:val="1024"/>
        </w:numPr>
      </w:pPr>
      <w:r>
        <w:rPr>
          <w:b/>
          <w:bCs/>
        </w:rPr>
        <w:t xml:space="preserve">Application</w:t>
      </w:r>
      <w:r>
        <w:t xml:space="preserve">: Decoupling phenomenon – appointing technical directors for institutional legitimacy rather than substantive competence</w:t>
      </w:r>
    </w:p>
    <w:p>
      <w:pPr>
        <w:pStyle w:val="Compact"/>
        <w:numPr>
          <w:ilvl w:val="0"/>
          <w:numId w:val="1024"/>
        </w:numPr>
      </w:pPr>
      <w:r>
        <w:rPr>
          <w:b/>
          <w:bCs/>
        </w:rPr>
        <w:t xml:space="preserve">Relevance</w:t>
      </w:r>
      <w:r>
        <w:t xml:space="preserve">: Explains why Tech Committees may be ineffective (H2)</w:t>
      </w:r>
    </w:p>
    <w:bookmarkEnd w:id="54"/>
    <w:bookmarkStart w:id="55" w:name="negative-transfer-theory"/>
    <w:p>
      <w:pPr>
        <w:pStyle w:val="Heading3"/>
      </w:pPr>
      <w:r>
        <w:t xml:space="preserve">8. Negative Transfer Theory</w:t>
      </w:r>
    </w:p>
    <w:p>
      <w:pPr>
        <w:pStyle w:val="Compact"/>
        <w:numPr>
          <w:ilvl w:val="0"/>
          <w:numId w:val="1025"/>
        </w:numPr>
      </w:pPr>
      <w:r>
        <w:rPr>
          <w:b/>
          <w:bCs/>
        </w:rPr>
        <w:t xml:space="preserve">Origin</w:t>
      </w:r>
      <w:r>
        <w:t xml:space="preserve">: Educational Psychology</w:t>
      </w:r>
    </w:p>
    <w:p>
      <w:pPr>
        <w:pStyle w:val="Compact"/>
        <w:numPr>
          <w:ilvl w:val="0"/>
          <w:numId w:val="1025"/>
        </w:numPr>
      </w:pPr>
      <w:r>
        <w:rPr>
          <w:b/>
          <w:bCs/>
        </w:rPr>
        <w:t xml:space="preserve">Core idea</w:t>
      </w:r>
      <w:r>
        <w:t xml:space="preserve">: Prior learning can interfere with acquisition of new knowledge</w:t>
      </w:r>
    </w:p>
    <w:p>
      <w:pPr>
        <w:pStyle w:val="Compact"/>
        <w:numPr>
          <w:ilvl w:val="0"/>
          <w:numId w:val="1025"/>
        </w:numPr>
      </w:pPr>
      <w:r>
        <w:rPr>
          <w:b/>
          <w:bCs/>
        </w:rPr>
        <w:t xml:space="preserve">Application</w:t>
      </w:r>
      <w:r>
        <w:t xml:space="preserve">: Deterministic thinking from older CS education hinders understanding of probabilistic GenAI</w:t>
      </w:r>
    </w:p>
    <w:p>
      <w:pPr>
        <w:pStyle w:val="Compact"/>
        <w:numPr>
          <w:ilvl w:val="0"/>
          <w:numId w:val="1025"/>
        </w:numPr>
      </w:pPr>
      <w:r>
        <w:rPr>
          <w:b/>
          <w:bCs/>
        </w:rPr>
        <w:t xml:space="preserve">Relevance</w:t>
      </w:r>
      <w:r>
        <w:t xml:space="preserve">: Provides psychological mechanism for H1’s old vintage effect</w:t>
      </w:r>
    </w:p>
    <w:bookmarkEnd w:id="55"/>
    <w:bookmarkStart w:id="56" w:name="competence-trap"/>
    <w:p>
      <w:pPr>
        <w:pStyle w:val="Heading3"/>
      </w:pPr>
      <w:r>
        <w:t xml:space="preserve">9. Competence Trap</w:t>
      </w:r>
    </w:p>
    <w:p>
      <w:pPr>
        <w:pStyle w:val="Compact"/>
        <w:numPr>
          <w:ilvl w:val="0"/>
          <w:numId w:val="1026"/>
        </w:numPr>
      </w:pPr>
      <w:r>
        <w:rPr>
          <w:b/>
          <w:bCs/>
        </w:rPr>
        <w:t xml:space="preserve">Origin</w:t>
      </w:r>
      <w:r>
        <w:t xml:space="preserve">: Levitt &amp; March (1988)</w:t>
      </w:r>
    </w:p>
    <w:p>
      <w:pPr>
        <w:pStyle w:val="Compact"/>
        <w:numPr>
          <w:ilvl w:val="0"/>
          <w:numId w:val="1026"/>
        </w:numPr>
      </w:pPr>
      <w:r>
        <w:rPr>
          <w:b/>
          <w:bCs/>
        </w:rPr>
        <w:t xml:space="preserve">Core idea</w:t>
      </w:r>
      <w:r>
        <w:t xml:space="preserve">: Past success with existing competencies suppresses exploration of new approaches</w:t>
      </w:r>
    </w:p>
    <w:p>
      <w:pPr>
        <w:pStyle w:val="Compact"/>
        <w:numPr>
          <w:ilvl w:val="0"/>
          <w:numId w:val="1026"/>
        </w:numPr>
      </w:pPr>
      <w:r>
        <w:rPr>
          <w:b/>
          <w:bCs/>
        </w:rPr>
        <w:t xml:space="preserve">Application</w:t>
      </w:r>
      <w:r>
        <w:t xml:space="preserve">: Directors with track records in legacy tech exploitation resist AI exploration</w:t>
      </w:r>
    </w:p>
    <w:p>
      <w:pPr>
        <w:pStyle w:val="Compact"/>
        <w:numPr>
          <w:ilvl w:val="0"/>
          <w:numId w:val="1026"/>
        </w:numPr>
      </w:pPr>
      <w:r>
        <w:rPr>
          <w:b/>
          <w:bCs/>
        </w:rPr>
        <w:t xml:space="preserve">Relevance</w:t>
      </w:r>
      <w:r>
        <w:t xml:space="preserve">: Explains inertia beyond simple knowledge gaps</w:t>
      </w:r>
    </w:p>
    <w:bookmarkEnd w:id="56"/>
    <w:bookmarkEnd w:id="57"/>
    <w:bookmarkEnd w:id="58"/>
    <w:bookmarkStart w:id="64" w:name="theoretical-relationship"/>
    <w:p>
      <w:pPr>
        <w:pStyle w:val="Heading1"/>
      </w:pPr>
      <w:r>
        <w:t xml:space="preserve">Theoretical Relationship</w:t>
      </w:r>
    </w:p>
    <w:bookmarkStart w:id="59" w:name="how-the-theories-connect"/>
    <w:p>
      <w:pPr>
        <w:pStyle w:val="Heading2"/>
      </w:pPr>
      <w:r>
        <w:t xml:space="preserve">How the Theories Connect</w:t>
      </w:r>
    </w:p>
    <w:p>
      <w:pPr>
        <w:pStyle w:val="FirstParagraph"/>
      </w:pPr>
      <w:r>
        <w:t xml:space="preserve">The theoretical framework integrates multiple streams into a coherent causal model centered on the</w:t>
      </w:r>
      <w:r>
        <w:t xml:space="preserve"> </w:t>
      </w:r>
      <w:r>
        <w:rPr>
          <w:b/>
          <w:bCs/>
        </w:rPr>
        <w:t xml:space="preserve">Education Vintage</w:t>
      </w:r>
      <w:r>
        <w:t xml:space="preserve"> </w:t>
      </w:r>
      <w:r>
        <w:t xml:space="preserve">construct.</w:t>
      </w:r>
    </w:p>
    <w:bookmarkEnd w:id="59"/>
    <w:bookmarkStart w:id="60" w:name="theoretical-integration-map"/>
    <w:p>
      <w:pPr>
        <w:pStyle w:val="Heading2"/>
      </w:pPr>
      <w:r>
        <w:t xml:space="preserve">Theoretical Integration Map</w:t>
      </w:r>
    </w:p>
    <w:p>
      <w:pPr>
        <w:pStyle w:val="SourceCode"/>
      </w:pPr>
      <w:r>
        <w:rPr>
          <w:rStyle w:val="VerbatimChar"/>
        </w:rPr>
        <w:t xml:space="preserve">                    Upper Echelons Theory</w:t>
      </w:r>
      <w:r>
        <w:br/>
      </w:r>
      <w:r>
        <w:rPr>
          <w:rStyle w:val="VerbatimChar"/>
        </w:rPr>
        <w:t xml:space="preserve">                    (Cognitive Imprint Formation)</w:t>
      </w:r>
      <w:r>
        <w:br/>
      </w:r>
      <w:r>
        <w:rPr>
          <w:rStyle w:val="VerbatimChar"/>
        </w:rPr>
        <w:t xml:space="preserve">                          |</w:t>
      </w:r>
      <w:r>
        <w:br/>
      </w:r>
      <w:r>
        <w:rPr>
          <w:rStyle w:val="VerbatimChar"/>
        </w:rPr>
        <w:t xml:space="preserve">                          v</w:t>
      </w:r>
      <w:r>
        <w:br/>
      </w:r>
      <w:r>
        <w:rPr>
          <w:rStyle w:val="VerbatimChar"/>
        </w:rPr>
        <w:t xml:space="preserve">    Human Capital Theory -----&gt; Education Vintage (Core Construct)</w:t>
      </w:r>
      <w:r>
        <w:br/>
      </w:r>
      <w:r>
        <w:rPr>
          <w:rStyle w:val="VerbatimChar"/>
        </w:rPr>
        <w:t xml:space="preserve">    (Knowledge Depreciation)              |</w:t>
      </w:r>
      <w:r>
        <w:br/>
      </w:r>
      <w:r>
        <w:rPr>
          <w:rStyle w:val="VerbatimChar"/>
        </w:rPr>
        <w:t xml:space="preserve">                                          |</w:t>
      </w:r>
      <w:r>
        <w:br/>
      </w:r>
      <w:r>
        <w:rPr>
          <w:rStyle w:val="VerbatimChar"/>
        </w:rPr>
        <w:t xml:space="preserve">          +-------------------------------+-------------------------------+</w:t>
      </w:r>
      <w:r>
        <w:br/>
      </w:r>
      <w:r>
        <w:rPr>
          <w:rStyle w:val="VerbatimChar"/>
        </w:rPr>
        <w:t xml:space="preserve">          |                               |                               |</w:t>
      </w:r>
      <w:r>
        <w:br/>
      </w:r>
      <w:r>
        <w:rPr>
          <w:rStyle w:val="VerbatimChar"/>
        </w:rPr>
        <w:t xml:space="preserve">          v                               v                               v</w:t>
      </w:r>
      <w:r>
        <w:br/>
      </w:r>
      <w:r>
        <w:rPr>
          <w:rStyle w:val="VerbatimChar"/>
        </w:rPr>
        <w:t xml:space="preserve">   Absorptive Capacity            RDT + Dynamic                 Institutional Theory</w:t>
      </w:r>
      <w:r>
        <w:br/>
      </w:r>
      <w:r>
        <w:rPr>
          <w:rStyle w:val="VerbatimChar"/>
        </w:rPr>
        <w:t xml:space="preserve">   (Reduced Knowledge             Capabilities                  (Decoupling/</w:t>
      </w:r>
      <w:r>
        <w:br/>
      </w:r>
      <w:r>
        <w:rPr>
          <w:rStyle w:val="VerbatimChar"/>
        </w:rPr>
        <w:t xml:space="preserve">    Absorption)                  (Resource Fossilization)        Ceremonial Response)</w:t>
      </w:r>
      <w:r>
        <w:br/>
      </w:r>
      <w:r>
        <w:rPr>
          <w:rStyle w:val="VerbatimChar"/>
        </w:rPr>
        <w:t xml:space="preserve">          |                               |                               |</w:t>
      </w:r>
      <w:r>
        <w:br/>
      </w:r>
      <w:r>
        <w:rPr>
          <w:rStyle w:val="VerbatimChar"/>
        </w:rPr>
        <w:t xml:space="preserve">          v                               v                               v</w:t>
      </w:r>
      <w:r>
        <w:br/>
      </w:r>
      <w:r>
        <w:rPr>
          <w:rStyle w:val="VerbatimChar"/>
        </w:rPr>
        <w:t xml:space="preserve">   Negative Transfer              Competence Trap               Tech Committee</w:t>
      </w:r>
      <w:r>
        <w:br/>
      </w:r>
      <w:r>
        <w:rPr>
          <w:rStyle w:val="VerbatimChar"/>
        </w:rPr>
        <w:t xml:space="preserve">   (Old Knowledge Interferes)     (Success Trap)                Ineffectiveness (H2)</w:t>
      </w:r>
      <w:r>
        <w:br/>
      </w:r>
      <w:r>
        <w:rPr>
          <w:rStyle w:val="VerbatimChar"/>
        </w:rPr>
        <w:t xml:space="preserve">          |                               |</w:t>
      </w:r>
      <w:r>
        <w:br/>
      </w:r>
      <w:r>
        <w:rPr>
          <w:rStyle w:val="VerbatimChar"/>
        </w:rPr>
        <w:t xml:space="preserve">          v                       +-------+-------+</w:t>
      </w:r>
      <w:r>
        <w:br/>
      </w:r>
      <w:r>
        <w:rPr>
          <w:rStyle w:val="VerbatimChar"/>
        </w:rPr>
        <w:t xml:space="preserve">      H1: Vintage Affects         |               |</w:t>
      </w:r>
      <w:r>
        <w:br/>
      </w:r>
      <w:r>
        <w:rPr>
          <w:rStyle w:val="VerbatimChar"/>
        </w:rPr>
        <w:t xml:space="preserve">      Adoption Speed              v               v</w:t>
      </w:r>
      <w:r>
        <w:br/>
      </w:r>
      <w:r>
        <w:rPr>
          <w:rStyle w:val="VerbatimChar"/>
        </w:rPr>
        <w:t xml:space="preserve">                           H3: Cognitive      H4: Reskilling</w:t>
      </w:r>
      <w:r>
        <w:br/>
      </w:r>
      <w:r>
        <w:rPr>
          <w:rStyle w:val="VerbatimChar"/>
        </w:rPr>
        <w:t xml:space="preserve">                           Faultlines         Offsets Depreciation</w:t>
      </w:r>
    </w:p>
    <w:bookmarkEnd w:id="60"/>
    <w:bookmarkStart w:id="61" w:name="theory-to-hypothesis-mapping"/>
    <w:p>
      <w:pPr>
        <w:pStyle w:val="Heading2"/>
      </w:pPr>
      <w:r>
        <w:t xml:space="preserve">Theory-to-Hypothesis Mapping</w:t>
      </w:r>
    </w:p>
    <w:tbl>
      <w:tblPr>
        <w:tblStyle w:val="Table"/>
        <w:tblW w:type="pct" w:w="5000"/>
        <w:tblLayout w:type="fixed"/>
        <w:tblLook w:firstRow="1" w:lastRow="0" w:firstColumn="0" w:lastColumn="0" w:noHBand="0" w:noVBand="0" w:val="0020"/>
      </w:tblPr>
      <w:tblGrid>
        <w:gridCol w:w="1815"/>
        <w:gridCol w:w="2640"/>
        <w:gridCol w:w="3465"/>
      </w:tblGrid>
      <w:tr>
        <w:trPr>
          <w:tblHeader w:val="on"/>
        </w:trPr>
        <w:tc>
          <w:tcPr/>
          <w:p>
            <w:pPr>
              <w:pStyle w:val="Compact"/>
            </w:pPr>
            <w:r>
              <w:t xml:space="preserve">Hypothesis</w:t>
            </w:r>
          </w:p>
        </w:tc>
        <w:tc>
          <w:tcPr/>
          <w:p>
            <w:pPr>
              <w:pStyle w:val="Compact"/>
            </w:pPr>
            <w:r>
              <w:t xml:space="preserve">Primary Theory</w:t>
            </w:r>
          </w:p>
        </w:tc>
        <w:tc>
          <w:tcPr/>
          <w:p>
            <w:pPr>
              <w:pStyle w:val="Compact"/>
            </w:pPr>
            <w:r>
              <w:t xml:space="preserve">Supporting Theories</w:t>
            </w:r>
          </w:p>
        </w:tc>
      </w:tr>
      <w:tr>
        <w:tc>
          <w:tcPr/>
          <w:p>
            <w:pPr>
              <w:pStyle w:val="Compact"/>
            </w:pPr>
            <w:r>
              <w:rPr>
                <w:b/>
                <w:bCs/>
              </w:rPr>
              <w:t xml:space="preserve">H1</w:t>
            </w:r>
            <w:r>
              <w:t xml:space="preserve">: Recent vintage -&gt; faster AI adoption</w:t>
            </w:r>
          </w:p>
        </w:tc>
        <w:tc>
          <w:tcPr/>
          <w:p>
            <w:pPr>
              <w:pStyle w:val="Compact"/>
            </w:pPr>
            <w:r>
              <w:t xml:space="preserve">Human Capital Theory (Vintage Effect)</w:t>
            </w:r>
          </w:p>
        </w:tc>
        <w:tc>
          <w:tcPr/>
          <w:p>
            <w:pPr>
              <w:pStyle w:val="Compact"/>
            </w:pPr>
            <w:r>
              <w:t xml:space="preserve">Absorptive Capacity, Negative Transfer, Upper Echelons</w:t>
            </w:r>
          </w:p>
        </w:tc>
      </w:tr>
      <w:tr>
        <w:tc>
          <w:tcPr/>
          <w:p>
            <w:pPr>
              <w:pStyle w:val="Compact"/>
            </w:pPr>
            <w:r>
              <w:rPr>
                <w:b/>
                <w:bCs/>
              </w:rPr>
              <w:t xml:space="preserve">H2</w:t>
            </w:r>
            <w:r>
              <w:t xml:space="preserve">: Old vintage Tech Committee -&gt; negative/null effect</w:t>
            </w:r>
          </w:p>
        </w:tc>
        <w:tc>
          <w:tcPr/>
          <w:p>
            <w:pPr>
              <w:pStyle w:val="Compact"/>
            </w:pPr>
            <w:r>
              <w:t xml:space="preserve">RDT (Resource Fossilization)</w:t>
            </w:r>
          </w:p>
        </w:tc>
        <w:tc>
          <w:tcPr/>
          <w:p>
            <w:pPr>
              <w:pStyle w:val="Compact"/>
            </w:pPr>
            <w:r>
              <w:t xml:space="preserve">Institutional Theory (Decoupling), Competence Trap</w:t>
            </w:r>
          </w:p>
        </w:tc>
      </w:tr>
      <w:tr>
        <w:tc>
          <w:tcPr/>
          <w:p>
            <w:pPr>
              <w:pStyle w:val="Compact"/>
            </w:pPr>
            <w:r>
              <w:rPr>
                <w:b/>
                <w:bCs/>
              </w:rPr>
              <w:t xml:space="preserve">H3</w:t>
            </w:r>
            <w:r>
              <w:t xml:space="preserve">: High vintage variance -&gt; slower adoption</w:t>
            </w:r>
          </w:p>
        </w:tc>
        <w:tc>
          <w:tcPr/>
          <w:p>
            <w:pPr>
              <w:pStyle w:val="Compact"/>
            </w:pPr>
            <w:r>
              <w:t xml:space="preserve">Cognitive Faultlines</w:t>
            </w:r>
          </w:p>
        </w:tc>
        <w:tc>
          <w:tcPr/>
          <w:p>
            <w:pPr>
              <w:pStyle w:val="Compact"/>
            </w:pPr>
            <w:r>
              <w:t xml:space="preserve">Upper Echelons, Dynamic Capabilities</w:t>
            </w:r>
          </w:p>
        </w:tc>
      </w:tr>
      <w:tr>
        <w:tc>
          <w:tcPr/>
          <w:p>
            <w:pPr>
              <w:pStyle w:val="Compact"/>
            </w:pPr>
            <w:r>
              <w:rPr>
                <w:b/>
                <w:bCs/>
              </w:rPr>
              <w:t xml:space="preserve">H4</w:t>
            </w:r>
            <w:r>
              <w:t xml:space="preserve">: Reskilling mitigates old vintage</w:t>
            </w:r>
          </w:p>
        </w:tc>
        <w:tc>
          <w:tcPr/>
          <w:p>
            <w:pPr>
              <w:pStyle w:val="Compact"/>
            </w:pPr>
            <w:r>
              <w:t xml:space="preserve">Human Capital Theory (Reinvestment)</w:t>
            </w:r>
          </w:p>
        </w:tc>
        <w:tc>
          <w:tcPr/>
          <w:p>
            <w:pPr>
              <w:pStyle w:val="Compact"/>
            </w:pPr>
            <w:r>
              <w:t xml:space="preserve">Absorptive Capacity, Dynamic Capabilities</w:t>
            </w:r>
          </w:p>
        </w:tc>
      </w:tr>
    </w:tbl>
    <w:bookmarkEnd w:id="61"/>
    <w:bookmarkStart w:id="62" w:name="causal-mechanism"/>
    <w:p>
      <w:pPr>
        <w:pStyle w:val="Heading2"/>
      </w:pPr>
      <w:r>
        <w:t xml:space="preserve">Causal Mechanism</w:t>
      </w:r>
    </w:p>
    <w:p>
      <w:pPr>
        <w:pStyle w:val="Compact"/>
        <w:numPr>
          <w:ilvl w:val="0"/>
          <w:numId w:val="1027"/>
        </w:numPr>
      </w:pPr>
      <w:r>
        <w:rPr>
          <w:b/>
          <w:bCs/>
        </w:rPr>
        <w:t xml:space="preserve">Formation</w:t>
      </w:r>
      <w:r>
        <w:t xml:space="preserve">: Education vintage creates cognitive imprints during formative years (Upper Echelons)</w:t>
      </w:r>
    </w:p>
    <w:p>
      <w:pPr>
        <w:pStyle w:val="Compact"/>
        <w:numPr>
          <w:ilvl w:val="0"/>
          <w:numId w:val="1027"/>
        </w:numPr>
      </w:pPr>
      <w:r>
        <w:rPr>
          <w:b/>
          <w:bCs/>
        </w:rPr>
        <w:t xml:space="preserve">Depreciation</w:t>
      </w:r>
      <w:r>
        <w:t xml:space="preserve">: Technical knowledge decays rapidly in high-tech fields (Human Capital Theory)</w:t>
      </w:r>
    </w:p>
    <w:p>
      <w:pPr>
        <w:pStyle w:val="Compact"/>
        <w:numPr>
          <w:ilvl w:val="0"/>
          <w:numId w:val="1027"/>
        </w:numPr>
      </w:pPr>
      <w:r>
        <w:rPr>
          <w:b/>
          <w:bCs/>
        </w:rPr>
        <w:t xml:space="preserve">Shock</w:t>
      </w:r>
      <w:r>
        <w:t xml:space="preserve">: GenAI arrives as a competence-destroying discontinuity (Anderson &amp; Tushman)</w:t>
      </w:r>
    </w:p>
    <w:p>
      <w:pPr>
        <w:pStyle w:val="Compact"/>
        <w:numPr>
          <w:ilvl w:val="0"/>
          <w:numId w:val="1027"/>
        </w:numPr>
      </w:pPr>
      <w:r>
        <w:rPr>
          <w:b/>
          <w:bCs/>
        </w:rPr>
        <w:t xml:space="preserve">Differential Response</w:t>
      </w:r>
      <w:r>
        <w:t xml:space="preserve">: Directors respond based on their vintage:</w:t>
      </w:r>
    </w:p>
    <w:p>
      <w:pPr>
        <w:pStyle w:val="Compact"/>
        <w:numPr>
          <w:ilvl w:val="1"/>
          <w:numId w:val="1028"/>
        </w:numPr>
      </w:pPr>
      <w:r>
        <w:rPr>
          <w:b/>
          <w:bCs/>
        </w:rPr>
        <w:t xml:space="preserve">Recent vintage</w:t>
      </w:r>
      <w:r>
        <w:t xml:space="preserve">: High absorptive capacity, cognitive alignment with probabilistic AI -&gt; faster adoption</w:t>
      </w:r>
    </w:p>
    <w:p>
      <w:pPr>
        <w:pStyle w:val="Compact"/>
        <w:numPr>
          <w:ilvl w:val="1"/>
          <w:numId w:val="1028"/>
        </w:numPr>
      </w:pPr>
      <w:r>
        <w:rPr>
          <w:b/>
          <w:bCs/>
        </w:rPr>
        <w:t xml:space="preserve">Old vintage</w:t>
      </w:r>
      <w:r>
        <w:t xml:space="preserve">: Low absorptive capacity, negative transfer, competence trap -&gt; resistance or misguided governance</w:t>
      </w:r>
    </w:p>
    <w:p>
      <w:pPr>
        <w:pStyle w:val="Compact"/>
        <w:numPr>
          <w:ilvl w:val="1"/>
          <w:numId w:val="1028"/>
        </w:numPr>
      </w:pPr>
      <w:r>
        <w:rPr>
          <w:b/>
          <w:bCs/>
        </w:rPr>
        <w:t xml:space="preserve">Mixed vintage</w:t>
      </w:r>
      <w:r>
        <w:t xml:space="preserve">: Cognitive faultlines create communication breakdown -&gt; delayed consensus</w:t>
      </w:r>
    </w:p>
    <w:p>
      <w:pPr>
        <w:pStyle w:val="Compact"/>
        <w:numPr>
          <w:ilvl w:val="0"/>
          <w:numId w:val="1027"/>
        </w:numPr>
      </w:pPr>
      <w:r>
        <w:rPr>
          <w:b/>
          <w:bCs/>
        </w:rPr>
        <w:t xml:space="preserve">Mitigation</w:t>
      </w:r>
      <w:r>
        <w:t xml:space="preserve">: Reskilling refreshes vintage capital, restoring absorptive capacity</w:t>
      </w:r>
    </w:p>
    <w:bookmarkEnd w:id="62"/>
    <w:bookmarkStart w:id="63" w:name="X74ef1ad3f563f30b2f090f525d2d221481c19ee"/>
    <w:p>
      <w:pPr>
        <w:pStyle w:val="Heading2"/>
      </w:pPr>
      <w:r>
        <w:t xml:space="preserve">From</w:t>
      </w:r>
      <w:r>
        <w:t xml:space="preserve"> </w:t>
      </w:r>
      <w:r>
        <w:t xml:space="preserve">“Possessed Knowledge”</w:t>
      </w:r>
      <w:r>
        <w:t xml:space="preserve"> </w:t>
      </w:r>
      <w:r>
        <w:t xml:space="preserve">to</w:t>
      </w:r>
      <w:r>
        <w:t xml:space="preserve"> </w:t>
      </w:r>
      <w:r>
        <w:t xml:space="preserve">“Effective Knowledge”</w:t>
      </w:r>
    </w:p>
    <w:p>
      <w:pPr>
        <w:pStyle w:val="FirstParagraph"/>
      </w:pPr>
      <w:r>
        <w:t xml:space="preserve">Traditional governance research operates on the premise of</w:t>
      </w:r>
      <w:r>
        <w:t xml:space="preserve"> </w:t>
      </w:r>
      <w:r>
        <w:rPr>
          <w:b/>
          <w:bCs/>
        </w:rPr>
        <w:t xml:space="preserve">Possessed Knowledge</w:t>
      </w:r>
      <w:r>
        <w:t xml:space="preserve">: once a director acquires a credential, they permanently possess the associated utility.</w:t>
      </w:r>
    </w:p>
    <w:p>
      <w:pPr>
        <w:pStyle w:val="BodyText"/>
      </w:pPr>
      <w:r>
        <w:t xml:space="preserve">This study proposes a shift to</w:t>
      </w:r>
      <w:r>
        <w:t xml:space="preserve"> </w:t>
      </w:r>
      <w:r>
        <w:rPr>
          <w:b/>
          <w:bCs/>
        </w:rPr>
        <w:t xml:space="preserve">Effective Knowledge</w:t>
      </w:r>
      <w:r>
        <w:t xml:space="preserve">: accounting for the temporal erosion of relevance.</w:t>
      </w:r>
    </w:p>
    <w:p>
      <w:pPr>
        <w:pStyle w:val="BlockText"/>
      </w:pPr>
      <w:r>
        <w:t xml:space="preserve">Effective Knowledge = Possessed Knowledge x Vintage Alignment Factor</w:t>
      </w:r>
    </w:p>
    <w:p>
      <w:pPr>
        <w:pStyle w:val="BlockText"/>
      </w:pPr>
      <w:r>
        <w:t xml:space="preserve">Where Vintage Alignment = f(graduation year, current technological regime, reskilling investment)</w:t>
      </w:r>
    </w:p>
    <w:bookmarkEnd w:id="63"/>
    <w:bookmarkEnd w:id="64"/>
    <w:bookmarkStart w:id="74" w:name="theoretical-framework"/>
    <w:p>
      <w:pPr>
        <w:pStyle w:val="Heading1"/>
      </w:pPr>
      <w:r>
        <w:t xml:space="preserve">Theoretical Framework</w:t>
      </w:r>
    </w:p>
    <w:bookmarkStart w:id="65" w:name="overview"/>
    <w:p>
      <w:pPr>
        <w:pStyle w:val="Heading2"/>
      </w:pPr>
      <w:r>
        <w:t xml:space="preserve">Overview</w:t>
      </w:r>
    </w:p>
    <w:p>
      <w:pPr>
        <w:pStyle w:val="FirstParagraph"/>
      </w:pPr>
      <w:r>
        <w:t xml:space="preserve">This study integrates three distinct theoretical streams to unpack the relationship between education vintage and AI governance:</w:t>
      </w:r>
    </w:p>
    <w:p>
      <w:pPr>
        <w:pStyle w:val="Compact"/>
        <w:numPr>
          <w:ilvl w:val="0"/>
          <w:numId w:val="1029"/>
        </w:numPr>
      </w:pPr>
      <w:r>
        <w:rPr>
          <w:b/>
          <w:bCs/>
        </w:rPr>
        <w:t xml:space="preserve">Resource Dependence Theory (RDT)</w:t>
      </w:r>
      <w:r>
        <w:t xml:space="preserve"> </w:t>
      </w:r>
      <w:r>
        <w:t xml:space="preserve">– Dynamic View</w:t>
      </w:r>
    </w:p>
    <w:p>
      <w:pPr>
        <w:pStyle w:val="Compact"/>
        <w:numPr>
          <w:ilvl w:val="0"/>
          <w:numId w:val="1029"/>
        </w:numPr>
      </w:pPr>
      <w:r>
        <w:rPr>
          <w:b/>
          <w:bCs/>
        </w:rPr>
        <w:t xml:space="preserve">Economics of Human Capital</w:t>
      </w:r>
      <w:r>
        <w:t xml:space="preserve"> </w:t>
      </w:r>
      <w:r>
        <w:t xml:space="preserve">– Obsolescence</w:t>
      </w:r>
    </w:p>
    <w:p>
      <w:pPr>
        <w:pStyle w:val="Compact"/>
        <w:numPr>
          <w:ilvl w:val="0"/>
          <w:numId w:val="1029"/>
        </w:numPr>
      </w:pPr>
      <w:r>
        <w:rPr>
          <w:b/>
          <w:bCs/>
        </w:rPr>
        <w:t xml:space="preserve">Theory of Technological Discontinuities</w:t>
      </w:r>
    </w:p>
    <w:bookmarkEnd w:id="65"/>
    <w:bookmarkStart w:id="66" w:name="X9324de1776d0aa6fcd6baaab740d35263646ae2"/>
    <w:p>
      <w:pPr>
        <w:pStyle w:val="Heading2"/>
      </w:pPr>
      <w:r>
        <w:t xml:space="preserve">1. Reframing Resource Dependence Theory: The Decay of Board Capital</w:t>
      </w:r>
    </w:p>
    <w:p>
      <w:pPr>
        <w:pStyle w:val="FirstParagraph"/>
      </w:pPr>
      <w:r>
        <w:t xml:space="preserve">Resource Dependence Theory (RDT) asserts that organizations must interact with their environment to acquire resources. Boards are the primary mechanism for managing these external dependencies (Hoppmann et al., 2019). In high-tech industries, the most critical resource is information processing capability and technical foresight.</w:t>
      </w:r>
    </w:p>
    <w:p>
      <w:pPr>
        <w:pStyle w:val="BodyText"/>
      </w:pPr>
      <w:r>
        <w:rPr>
          <w:b/>
          <w:bCs/>
        </w:rPr>
        <w:t xml:space="preserve">Limitation of Standard RDT</w:t>
      </w:r>
      <w:r>
        <w:t xml:space="preserve">: Board capital is treated as static. A director appointed for their technical expertise is assumed to deliver that resource continuously throughout their tenure.</w:t>
      </w:r>
    </w:p>
    <w:p>
      <w:pPr>
        <w:pStyle w:val="BodyText"/>
      </w:pPr>
      <w:r>
        <w:rPr>
          <w:b/>
          <w:bCs/>
        </w:rPr>
        <w:t xml:space="preserve">Extension – Resource Fossilization</w:t>
      </w:r>
      <w:r>
        <w:t xml:space="preserve">: The phenomenon where a strategic resource degrades into a liability due to environmental shifts. When a technological paradigm shifts (e.g., from on-premise to cloud, from analytical AI to generative AI), the</w:t>
      </w:r>
      <w:r>
        <w:t xml:space="preserve"> </w:t>
      </w:r>
      <w:r>
        <w:t xml:space="preserve">“resource”</w:t>
      </w:r>
      <w:r>
        <w:t xml:space="preserve"> </w:t>
      </w:r>
      <w:r>
        <w:t xml:space="preserve">provided by a director trained in the old paradigm loses its strategic value.</w:t>
      </w:r>
    </w:p>
    <w:p>
      <w:pPr>
        <w:pStyle w:val="BlockText"/>
      </w:pPr>
      <w:r>
        <w:t xml:space="preserve">RDT must be extended to include a</w:t>
      </w:r>
      <w:r>
        <w:t xml:space="preserve"> </w:t>
      </w:r>
      <w:r>
        <w:rPr>
          <w:b/>
          <w:bCs/>
        </w:rPr>
        <w:t xml:space="preserve">temporal validity constraint</w:t>
      </w:r>
      <w:r>
        <w:t xml:space="preserve">: The provision of technical resources is contingent on the alignment between the vintage of the resource and the current technological regime.</w:t>
      </w:r>
    </w:p>
    <w:bookmarkEnd w:id="66"/>
    <w:bookmarkStart w:id="67" w:name="X9365feba793ede521efc5ed89a5018e49fecaba"/>
    <w:p>
      <w:pPr>
        <w:pStyle w:val="Heading2"/>
      </w:pPr>
      <w:r>
        <w:t xml:space="preserve">2. Human Capital Obsolescence and the</w:t>
      </w:r>
      <w:r>
        <w:t xml:space="preserve"> </w:t>
      </w:r>
      <w:r>
        <w:t xml:space="preserve">“Vintage Effect”</w:t>
      </w:r>
    </w:p>
    <w:p>
      <w:pPr>
        <w:pStyle w:val="FirstParagraph"/>
      </w:pPr>
      <w:r>
        <w:t xml:space="preserve">Becker’s human capital theory views education as an investment with a rate of return. However, this capital depreciates. The depreciation rate in high-technology fields is significantly higher than in law, finance, or management (Boone et al., 2008).</w:t>
      </w:r>
    </w:p>
    <w:p>
      <w:pPr>
        <w:pStyle w:val="Compact"/>
        <w:numPr>
          <w:ilvl w:val="0"/>
          <w:numId w:val="1030"/>
        </w:numPr>
      </w:pPr>
      <w:r>
        <w:rPr>
          <w:b/>
          <w:bCs/>
        </w:rPr>
        <w:t xml:space="preserve">Half-life of engineering knowledge</w:t>
      </w:r>
      <w:r>
        <w:t xml:space="preserve">: 2.5 to 5 years (Shearer &amp; Steger, 1975)</w:t>
      </w:r>
    </w:p>
    <w:p>
      <w:pPr>
        <w:pStyle w:val="Compact"/>
        <w:numPr>
          <w:ilvl w:val="0"/>
          <w:numId w:val="1030"/>
        </w:numPr>
      </w:pPr>
      <w:r>
        <w:rPr>
          <w:b/>
          <w:bCs/>
        </w:rPr>
        <w:t xml:space="preserve">Cognitive imprinting</w:t>
      </w:r>
      <w:r>
        <w:t xml:space="preserve">: Executives’ cognitive bases are formed by their educational backgrounds and are resistant to change (Upper Echelons Theory)</w:t>
      </w:r>
    </w:p>
    <w:p>
      <w:pPr>
        <w:pStyle w:val="Compact"/>
        <w:numPr>
          <w:ilvl w:val="0"/>
          <w:numId w:val="1030"/>
        </w:numPr>
      </w:pPr>
      <w:r>
        <w:rPr>
          <w:b/>
          <w:bCs/>
        </w:rPr>
        <w:t xml:space="preserve">Negative transfer</w:t>
      </w:r>
      <w:r>
        <w:t xml:space="preserve">: A director trained in control and determinism will struggle with the probabilistic and emergent nature of GenAI</w:t>
      </w:r>
    </w:p>
    <w:bookmarkEnd w:id="67"/>
    <w:bookmarkStart w:id="68" w:name="X697c877f4dd007791af78bd151f1fb11aac0d64"/>
    <w:p>
      <w:pPr>
        <w:pStyle w:val="Heading2"/>
      </w:pPr>
      <w:r>
        <w:t xml:space="preserve">3. Technological Discontinuities: Competence-Destroying Change</w:t>
      </w:r>
    </w:p>
    <w:p>
      <w:pPr>
        <w:pStyle w:val="FirstParagraph"/>
      </w:pPr>
      <w:r>
        <w:t xml:space="preserve">The distinction between competence-enhancing and competence-destroying discontinuities (Anderson &amp; Tushman, 1990, 2018):</w:t>
      </w:r>
    </w:p>
    <w:tbl>
      <w:tblPr>
        <w:tblStyle w:val="Table"/>
        <w:tblW w:type="pct" w:w="5000"/>
        <w:tblLayout w:type="fixed"/>
        <w:tblLook w:firstRow="1" w:lastRow="0" w:firstColumn="0" w:lastColumn="0" w:noHBand="0" w:noVBand="0" w:val="0020"/>
      </w:tblPr>
      <w:tblGrid>
        <w:gridCol w:w="1320"/>
        <w:gridCol w:w="2860"/>
        <w:gridCol w:w="3740"/>
      </w:tblGrid>
      <w:tr>
        <w:trPr>
          <w:tblHeader w:val="on"/>
        </w:trPr>
        <w:tc>
          <w:tcPr/>
          <w:p>
            <w:pPr>
              <w:pStyle w:val="Compact"/>
            </w:pPr>
            <w:r>
              <w:t xml:space="preserve">Type</w:t>
            </w:r>
          </w:p>
        </w:tc>
        <w:tc>
          <w:tcPr/>
          <w:p>
            <w:pPr>
              <w:pStyle w:val="Compact"/>
            </w:pPr>
            <w:r>
              <w:t xml:space="preserve">Description</w:t>
            </w:r>
          </w:p>
        </w:tc>
        <w:tc>
          <w:tcPr/>
          <w:p>
            <w:pPr>
              <w:pStyle w:val="Compact"/>
            </w:pPr>
            <w:r>
              <w:t xml:space="preserve">Director Impact</w:t>
            </w:r>
          </w:p>
        </w:tc>
      </w:tr>
      <w:tr>
        <w:tc>
          <w:tcPr/>
          <w:p>
            <w:pPr>
              <w:pStyle w:val="Compact"/>
            </w:pPr>
            <w:r>
              <w:rPr>
                <w:b/>
                <w:bCs/>
              </w:rPr>
              <w:t xml:space="preserve">Competence-Enhancing</w:t>
            </w:r>
          </w:p>
        </w:tc>
        <w:tc>
          <w:tcPr/>
          <w:p>
            <w:pPr>
              <w:pStyle w:val="Compact"/>
            </w:pPr>
            <w:r>
              <w:t xml:space="preserve">Innovations building upon existing know-how</w:t>
            </w:r>
          </w:p>
        </w:tc>
        <w:tc>
          <w:tcPr/>
          <w:p>
            <w:pPr>
              <w:pStyle w:val="Compact"/>
            </w:pPr>
            <w:r>
              <w:t xml:space="preserve">Experienced directors thrive</w:t>
            </w:r>
          </w:p>
        </w:tc>
      </w:tr>
      <w:tr>
        <w:tc>
          <w:tcPr/>
          <w:p>
            <w:pPr>
              <w:pStyle w:val="Compact"/>
            </w:pPr>
            <w:r>
              <w:rPr>
                <w:b/>
                <w:bCs/>
              </w:rPr>
              <w:t xml:space="preserve">Competence-Destroying</w:t>
            </w:r>
          </w:p>
        </w:tc>
        <w:tc>
          <w:tcPr/>
          <w:p>
            <w:pPr>
              <w:pStyle w:val="Compact"/>
            </w:pPr>
            <w:r>
              <w:t xml:space="preserve">Innovations rendering existing skills obsolete</w:t>
            </w:r>
          </w:p>
        </w:tc>
        <w:tc>
          <w:tcPr/>
          <w:p>
            <w:pPr>
              <w:pStyle w:val="Compact"/>
            </w:pPr>
            <w:r>
              <w:t xml:space="preserve">Experienced directors may hinder</w:t>
            </w:r>
          </w:p>
        </w:tc>
      </w:tr>
    </w:tbl>
    <w:p>
      <w:pPr>
        <w:pStyle w:val="BodyText"/>
      </w:pPr>
      <w:r>
        <w:t xml:space="preserve">GenAI acts as a</w:t>
      </w:r>
      <w:r>
        <w:t xml:space="preserve"> </w:t>
      </w:r>
      <w:r>
        <w:rPr>
          <w:b/>
          <w:bCs/>
        </w:rPr>
        <w:t xml:space="preserve">competence-destroying discontinuity</w:t>
      </w:r>
      <w:r>
        <w:t xml:space="preserve"> </w:t>
      </w:r>
      <w:r>
        <w:t xml:space="preserve">for traditional IT governance:</w:t>
      </w:r>
    </w:p>
    <w:p>
      <w:pPr>
        <w:pStyle w:val="Compact"/>
        <w:numPr>
          <w:ilvl w:val="0"/>
          <w:numId w:val="1031"/>
        </w:numPr>
      </w:pPr>
      <w:r>
        <w:t xml:space="preserve">Previous IT eras: process automation, structured data, logical determinism</w:t>
      </w:r>
    </w:p>
    <w:p>
      <w:pPr>
        <w:pStyle w:val="Compact"/>
        <w:numPr>
          <w:ilvl w:val="0"/>
          <w:numId w:val="1031"/>
        </w:numPr>
      </w:pPr>
      <w:r>
        <w:t xml:space="preserve">GenAI era: content creation, unstructured data, probabilistic outcomes</w:t>
      </w:r>
    </w:p>
    <w:p>
      <w:pPr>
        <w:pStyle w:val="FirstParagraph"/>
      </w:pPr>
      <w:r>
        <w:rPr>
          <w:b/>
          <w:bCs/>
        </w:rPr>
        <w:t xml:space="preserve">Competence Trap</w:t>
      </w:r>
      <w:r>
        <w:t xml:space="preserve">: Directors with obsolete expertise may actively resist new technology – not out of ignorance, but out of the belief that their methods remain superior.</w:t>
      </w:r>
    </w:p>
    <w:bookmarkEnd w:id="68"/>
    <w:bookmarkStart w:id="73" w:name="hypothesis"/>
    <w:p>
      <w:pPr>
        <w:pStyle w:val="Heading2"/>
      </w:pPr>
      <w:r>
        <w:t xml:space="preserve">Hypothesis</w:t>
      </w:r>
    </w:p>
    <w:bookmarkStart w:id="69" w:name="Xc7d793941ff089cab3140795d88324ae5d6d061"/>
    <w:p>
      <w:pPr>
        <w:pStyle w:val="Heading3"/>
      </w:pPr>
      <w:r>
        <w:t xml:space="preserve">H1: Education Vintage and AI Adoption Speed</w:t>
      </w:r>
    </w:p>
    <w:p>
      <w:pPr>
        <w:pStyle w:val="FirstParagraph"/>
      </w:pPr>
      <w:r>
        <w:t xml:space="preserve">In the post-ChatGPT period, the positive relationship between board technical competence and firm AI adoption speed is significantly stronger for firms whose technical directors have</w:t>
      </w:r>
      <w:r>
        <w:t xml:space="preserve"> </w:t>
      </w:r>
      <w:r>
        <w:rPr>
          <w:b/>
          <w:bCs/>
        </w:rPr>
        <w:t xml:space="preserve">more recent educational vintages</w:t>
      </w:r>
      <w:r>
        <w:t xml:space="preserve"> </w:t>
      </w:r>
      <w:r>
        <w:t xml:space="preserve">(lower Tech Knowledge Latency).</w:t>
      </w:r>
    </w:p>
    <w:bookmarkEnd w:id="69"/>
    <w:bookmarkStart w:id="70" w:name="h2-technology-committee-vintage-effect"/>
    <w:p>
      <w:pPr>
        <w:pStyle w:val="Heading3"/>
      </w:pPr>
      <w:r>
        <w:t xml:space="preserve">H2: Technology Committee Vintage Effect</w:t>
      </w:r>
    </w:p>
    <w:p>
      <w:pPr>
        <w:pStyle w:val="FirstParagraph"/>
      </w:pPr>
      <w:r>
        <w:t xml:space="preserve">The presence of a Technology Committee will have a</w:t>
      </w:r>
      <w:r>
        <w:t xml:space="preserve"> </w:t>
      </w:r>
      <w:r>
        <w:rPr>
          <w:b/>
          <w:bCs/>
        </w:rPr>
        <w:t xml:space="preserve">negative or insignificant effect</w:t>
      </w:r>
      <w:r>
        <w:t xml:space="preserve"> </w:t>
      </w:r>
      <w:r>
        <w:t xml:space="preserve">on GenAI adoption if the average Education Vintage of its members predates the modern AI era (pre-2012).</w:t>
      </w:r>
    </w:p>
    <w:bookmarkEnd w:id="70"/>
    <w:bookmarkStart w:id="71" w:name="h3-cognitive-vintage-faultlines"/>
    <w:p>
      <w:pPr>
        <w:pStyle w:val="Heading3"/>
      </w:pPr>
      <w:r>
        <w:t xml:space="preserve">H3: Cognitive Vintage Faultlines</w:t>
      </w:r>
    </w:p>
    <w:p>
      <w:pPr>
        <w:pStyle w:val="FirstParagraph"/>
      </w:pPr>
      <w:r>
        <w:t xml:space="preserve">Boards with</w:t>
      </w:r>
      <w:r>
        <w:t xml:space="preserve"> </w:t>
      </w:r>
      <w:r>
        <w:rPr>
          <w:b/>
          <w:bCs/>
        </w:rPr>
        <w:t xml:space="preserve">high variance</w:t>
      </w:r>
      <w:r>
        <w:t xml:space="preserve"> </w:t>
      </w:r>
      <w:r>
        <w:t xml:space="preserve">in technical education vintage will exhibit</w:t>
      </w:r>
      <w:r>
        <w:t xml:space="preserve"> </w:t>
      </w:r>
      <w:r>
        <w:rPr>
          <w:b/>
          <w:bCs/>
        </w:rPr>
        <w:t xml:space="preserve">slower AI adoption</w:t>
      </w:r>
      <w:r>
        <w:t xml:space="preserve"> </w:t>
      </w:r>
      <w:r>
        <w:t xml:space="preserve">compared to boards with low variance.</w:t>
      </w:r>
    </w:p>
    <w:bookmarkEnd w:id="71"/>
    <w:bookmarkStart w:id="72" w:name="h4-reskilling-mitigation"/>
    <w:p>
      <w:pPr>
        <w:pStyle w:val="Heading3"/>
      </w:pPr>
      <w:r>
        <w:t xml:space="preserve">H4: Reskilling Mitigation</w:t>
      </w:r>
    </w:p>
    <w:p>
      <w:pPr>
        <w:pStyle w:val="FirstParagraph"/>
      </w:pPr>
      <w:r>
        <w:t xml:space="preserve">The negative effect of Old Vintage is</w:t>
      </w:r>
      <w:r>
        <w:t xml:space="preserve"> </w:t>
      </w:r>
      <w:r>
        <w:rPr>
          <w:b/>
          <w:bCs/>
        </w:rPr>
        <w:t xml:space="preserve">mitigated</w:t>
      </w:r>
      <w:r>
        <w:t xml:space="preserve"> </w:t>
      </w:r>
      <w:r>
        <w:t xml:space="preserve">by the Reskilling Index (frequency of technical certifications or degrees obtained after age 45).</w:t>
      </w:r>
    </w:p>
    <w:bookmarkEnd w:id="72"/>
    <w:bookmarkEnd w:id="73"/>
    <w:bookmarkEnd w:id="74"/>
    <w:bookmarkStart w:id="83" w:name="methodology"/>
    <w:p>
      <w:pPr>
        <w:pStyle w:val="Heading1"/>
      </w:pPr>
      <w:r>
        <w:t xml:space="preserve">Methodology</w:t>
      </w:r>
    </w:p>
    <w:bookmarkStart w:id="75" w:name="research-paradigm"/>
    <w:p>
      <w:pPr>
        <w:pStyle w:val="Heading2"/>
      </w:pPr>
      <w:r>
        <w:t xml:space="preserve">Research Paradigm</w:t>
      </w:r>
    </w:p>
    <w:p>
      <w:pPr>
        <w:pStyle w:val="FirstParagraph"/>
      </w:pPr>
      <w:r>
        <w:t xml:space="preserve">This study employs a</w:t>
      </w:r>
      <w:r>
        <w:t xml:space="preserve"> </w:t>
      </w:r>
      <w:r>
        <w:rPr>
          <w:b/>
          <w:bCs/>
        </w:rPr>
        <w:t xml:space="preserve">positivist</w:t>
      </w:r>
      <w:r>
        <w:t xml:space="preserve"> </w:t>
      </w:r>
      <w:r>
        <w:t xml:space="preserve">research paradigm with a quantitative, archival research design. The goal is to establish causal relationships between education vintage and GenAI adoption using large-scale panel data and quasi-experimental methods.</w:t>
      </w:r>
    </w:p>
    <w:bookmarkEnd w:id="75"/>
    <w:bookmarkStart w:id="79" w:name="Xd377fcb01d38fd78be7c5c4892101fa249b3a02"/>
    <w:p>
      <w:pPr>
        <w:pStyle w:val="Heading2"/>
      </w:pPr>
      <w:r>
        <w:t xml:space="preserve">Research Design: Difference-in-Differences (DiD)</w:t>
      </w:r>
    </w:p>
    <w:p>
      <w:pPr>
        <w:pStyle w:val="FirstParagraph"/>
      </w:pPr>
      <w:r>
        <w:t xml:space="preserve">The study exploits the</w:t>
      </w:r>
      <w:r>
        <w:t xml:space="preserve"> </w:t>
      </w:r>
      <w:r>
        <w:rPr>
          <w:b/>
          <w:bCs/>
        </w:rPr>
        <w:t xml:space="preserve">sudden and largely unanticipated release of ChatGPT in November 2022</w:t>
      </w:r>
      <w:r>
        <w:t xml:space="preserve"> </w:t>
      </w:r>
      <w:r>
        <w:t xml:space="preserve">as an exogenous shock, creating a natural experiment that demarcates</w:t>
      </w:r>
      <w:r>
        <w:t xml:space="preserve"> </w:t>
      </w:r>
      <w:r>
        <w:t xml:space="preserve">“pre-GenAI”</w:t>
      </w:r>
      <w:r>
        <w:t xml:space="preserve"> </w:t>
      </w:r>
      <w:r>
        <w:t xml:space="preserve">and</w:t>
      </w:r>
      <w:r>
        <w:t xml:space="preserve"> </w:t>
      </w:r>
      <w:r>
        <w:t xml:space="preserve">“post-GenAI”</w:t>
      </w:r>
      <w:r>
        <w:t xml:space="preserve"> </w:t>
      </w:r>
      <w:r>
        <w:t xml:space="preserve">periods.</w:t>
      </w:r>
    </w:p>
    <w:bookmarkStart w:id="76" w:name="why-did"/>
    <w:p>
      <w:pPr>
        <w:pStyle w:val="Heading3"/>
      </w:pPr>
      <w:r>
        <w:t xml:space="preserve">Why DiD?</w:t>
      </w:r>
    </w:p>
    <w:p>
      <w:pPr>
        <w:pStyle w:val="Compact"/>
        <w:numPr>
          <w:ilvl w:val="0"/>
          <w:numId w:val="1032"/>
        </w:numPr>
      </w:pPr>
      <w:r>
        <w:t xml:space="preserve">ChatGPT’s release was a discrete, identifiable event</w:t>
      </w:r>
    </w:p>
    <w:p>
      <w:pPr>
        <w:pStyle w:val="Compact"/>
        <w:numPr>
          <w:ilvl w:val="0"/>
          <w:numId w:val="1032"/>
        </w:numPr>
      </w:pPr>
      <w:r>
        <w:t xml:space="preserve">It was largely unanticipated in its timing and impact</w:t>
      </w:r>
    </w:p>
    <w:p>
      <w:pPr>
        <w:pStyle w:val="Compact"/>
        <w:numPr>
          <w:ilvl w:val="0"/>
          <w:numId w:val="1032"/>
        </w:numPr>
      </w:pPr>
      <w:r>
        <w:t xml:space="preserve">It allows comparison of firms with different board vintage compositions before and after the shock</w:t>
      </w:r>
    </w:p>
    <w:p>
      <w:pPr>
        <w:pStyle w:val="Compact"/>
        <w:numPr>
          <w:ilvl w:val="0"/>
          <w:numId w:val="1032"/>
        </w:numPr>
      </w:pPr>
      <w:r>
        <w:t xml:space="preserve">Firm and time fixed effects control for unobserved heterogeneity</w:t>
      </w:r>
    </w:p>
    <w:bookmarkEnd w:id="76"/>
    <w:bookmarkStart w:id="77" w:name="key-assumptions"/>
    <w:p>
      <w:pPr>
        <w:pStyle w:val="Heading3"/>
      </w:pPr>
      <w:r>
        <w:t xml:space="preserve">Key Assumptions</w:t>
      </w:r>
    </w:p>
    <w:p>
      <w:pPr>
        <w:pStyle w:val="Compact"/>
        <w:numPr>
          <w:ilvl w:val="0"/>
          <w:numId w:val="1033"/>
        </w:numPr>
      </w:pPr>
      <w:r>
        <w:rPr>
          <w:b/>
          <w:bCs/>
        </w:rPr>
        <w:t xml:space="preserve">Parallel Trends</w:t>
      </w:r>
      <w:r>
        <w:t xml:space="preserve">: Absent the ChatGPT shock, firms with different board vintages would have followed similar AI adoption trajectories</w:t>
      </w:r>
    </w:p>
    <w:p>
      <w:pPr>
        <w:pStyle w:val="Compact"/>
        <w:numPr>
          <w:ilvl w:val="0"/>
          <w:numId w:val="1033"/>
        </w:numPr>
      </w:pPr>
      <w:r>
        <w:rPr>
          <w:b/>
          <w:bCs/>
        </w:rPr>
        <w:t xml:space="preserve">No Anticipation</w:t>
      </w:r>
      <w:r>
        <w:t xml:space="preserve">: Firms did not systematically alter board composition in anticipation of ChatGPT</w:t>
      </w:r>
    </w:p>
    <w:p>
      <w:pPr>
        <w:pStyle w:val="Compact"/>
        <w:numPr>
          <w:ilvl w:val="0"/>
          <w:numId w:val="1033"/>
        </w:numPr>
      </w:pPr>
      <w:r>
        <w:rPr>
          <w:b/>
          <w:bCs/>
        </w:rPr>
        <w:t xml:space="preserve">SUTVA</w:t>
      </w:r>
      <w:r>
        <w:t xml:space="preserve">: One firm’s treatment does not affect another firm’s outcome</w:t>
      </w:r>
    </w:p>
    <w:bookmarkEnd w:id="77"/>
    <w:bookmarkStart w:id="78" w:name="validation-strategy"/>
    <w:p>
      <w:pPr>
        <w:pStyle w:val="Heading3"/>
      </w:pPr>
      <w:r>
        <w:t xml:space="preserve">Validation Strategy</w:t>
      </w:r>
    </w:p>
    <w:p>
      <w:pPr>
        <w:pStyle w:val="Compact"/>
        <w:numPr>
          <w:ilvl w:val="0"/>
          <w:numId w:val="1034"/>
        </w:numPr>
      </w:pPr>
      <w:r>
        <w:rPr>
          <w:b/>
          <w:bCs/>
        </w:rPr>
        <w:t xml:space="preserve">Event Study</w:t>
      </w:r>
      <w:r>
        <w:t xml:space="preserve">: Plot quarterly coefficients around the ChatGPT launch to visually verify parallel trends</w:t>
      </w:r>
    </w:p>
    <w:p>
      <w:pPr>
        <w:pStyle w:val="Compact"/>
        <w:numPr>
          <w:ilvl w:val="0"/>
          <w:numId w:val="1034"/>
        </w:numPr>
      </w:pPr>
      <w:r>
        <w:rPr>
          <w:b/>
          <w:bCs/>
        </w:rPr>
        <w:t xml:space="preserve">Placebo Test</w:t>
      </w:r>
      <w:r>
        <w:t xml:space="preserve">: Test whether vintage effects appear for non-GenAI technologies (cloud, blockchain)</w:t>
      </w:r>
    </w:p>
    <w:p>
      <w:pPr>
        <w:pStyle w:val="Compact"/>
        <w:numPr>
          <w:ilvl w:val="0"/>
          <w:numId w:val="1034"/>
        </w:numPr>
      </w:pPr>
      <w:r>
        <w:rPr>
          <w:b/>
          <w:bCs/>
        </w:rPr>
        <w:t xml:space="preserve">Robustness</w:t>
      </w:r>
      <w:r>
        <w:t xml:space="preserve">: Vary vintage cutoff points (2010, 2012, 2015)</w:t>
      </w:r>
    </w:p>
    <w:bookmarkEnd w:id="78"/>
    <w:bookmarkEnd w:id="79"/>
    <w:bookmarkStart w:id="80" w:name="unit-of-analysis"/>
    <w:p>
      <w:pPr>
        <w:pStyle w:val="Heading2"/>
      </w:pPr>
      <w:r>
        <w:t xml:space="preserve">Unit of Analysis</w:t>
      </w:r>
    </w:p>
    <w:p>
      <w:pPr>
        <w:pStyle w:val="FirstParagraph"/>
      </w:pPr>
      <w:r>
        <w:rPr>
          <w:b/>
          <w:bCs/>
        </w:rPr>
        <w:t xml:space="preserve">Firm-quarter</w:t>
      </w:r>
      <w:r>
        <w:t xml:space="preserve"> </w:t>
      </w:r>
      <w:r>
        <w:t xml:space="preserve">panel, covering U.S. publicly listed firms with available BoardEx and Compustat data.</w:t>
      </w:r>
    </w:p>
    <w:bookmarkEnd w:id="80"/>
    <w:bookmarkStart w:id="81" w:name="time-period"/>
    <w:p>
      <w:pPr>
        <w:pStyle w:val="Heading2"/>
      </w:pPr>
      <w:r>
        <w:t xml:space="preserve">Time Period</w:t>
      </w:r>
    </w:p>
    <w:p>
      <w:pPr>
        <w:pStyle w:val="Compact"/>
        <w:numPr>
          <w:ilvl w:val="0"/>
          <w:numId w:val="1035"/>
        </w:numPr>
      </w:pPr>
      <w:r>
        <w:rPr>
          <w:b/>
          <w:bCs/>
        </w:rPr>
        <w:t xml:space="preserve">Pre-treatment</w:t>
      </w:r>
      <w:r>
        <w:t xml:space="preserve">: 2019 Q1 – 2022 Q3</w:t>
      </w:r>
    </w:p>
    <w:p>
      <w:pPr>
        <w:pStyle w:val="Compact"/>
        <w:numPr>
          <w:ilvl w:val="0"/>
          <w:numId w:val="1035"/>
        </w:numPr>
      </w:pPr>
      <w:r>
        <w:rPr>
          <w:b/>
          <w:bCs/>
        </w:rPr>
        <w:t xml:space="preserve">Treatment event</w:t>
      </w:r>
      <w:r>
        <w:t xml:space="preserve">: 2022 Q4 (ChatGPT release, November 30, 2022)</w:t>
      </w:r>
    </w:p>
    <w:p>
      <w:pPr>
        <w:pStyle w:val="Compact"/>
        <w:numPr>
          <w:ilvl w:val="0"/>
          <w:numId w:val="1035"/>
        </w:numPr>
      </w:pPr>
      <w:r>
        <w:rPr>
          <w:b/>
          <w:bCs/>
        </w:rPr>
        <w:t xml:space="preserve">Post-treatment</w:t>
      </w:r>
      <w:r>
        <w:t xml:space="preserve">: 2022 Q4 – 2025 Q4</w:t>
      </w:r>
    </w:p>
    <w:bookmarkEnd w:id="81"/>
    <w:bookmarkStart w:id="82" w:name="population-and-sample"/>
    <w:p>
      <w:pPr>
        <w:pStyle w:val="Heading2"/>
      </w:pPr>
      <w:r>
        <w:t xml:space="preserve">Population and Sample</w:t>
      </w:r>
    </w:p>
    <w:p>
      <w:pPr>
        <w:pStyle w:val="Compact"/>
        <w:numPr>
          <w:ilvl w:val="0"/>
          <w:numId w:val="1036"/>
        </w:numPr>
      </w:pPr>
      <w:r>
        <w:rPr>
          <w:b/>
          <w:bCs/>
        </w:rPr>
        <w:t xml:space="preserve">Population</w:t>
      </w:r>
      <w:r>
        <w:t xml:space="preserve">: All U.S. publicly listed firms in BoardEx universe</w:t>
      </w:r>
    </w:p>
    <w:p>
      <w:pPr>
        <w:pStyle w:val="Compact"/>
        <w:numPr>
          <w:ilvl w:val="0"/>
          <w:numId w:val="1036"/>
        </w:numPr>
      </w:pPr>
      <w:r>
        <w:rPr>
          <w:b/>
          <w:bCs/>
        </w:rPr>
        <w:t xml:space="preserve">Sample criteria</w:t>
      </w:r>
      <w:r>
        <w:t xml:space="preserve">: Firms with at least one STEM-degreed director, available financial data in Compustat, and 10-K filings in SEC EDGAR</w:t>
      </w:r>
    </w:p>
    <w:p>
      <w:pPr>
        <w:pStyle w:val="Compact"/>
        <w:numPr>
          <w:ilvl w:val="0"/>
          <w:numId w:val="1036"/>
        </w:numPr>
      </w:pPr>
      <w:r>
        <w:rPr>
          <w:b/>
          <w:bCs/>
        </w:rPr>
        <w:t xml:space="preserve">Expected sample</w:t>
      </w:r>
      <w:r>
        <w:t xml:space="preserve">: ~3,000-5,000 firms, ~50,000+ firm-quarter observations</w:t>
      </w:r>
    </w:p>
    <w:bookmarkEnd w:id="82"/>
    <w:bookmarkEnd w:id="83"/>
    <w:bookmarkStart w:id="89" w:name="method"/>
    <w:p>
      <w:pPr>
        <w:pStyle w:val="Heading1"/>
      </w:pPr>
      <w:r>
        <w:t xml:space="preserve">Method</w:t>
      </w:r>
    </w:p>
    <w:bookmarkStart w:id="86" w:name="econometric-model"/>
    <w:p>
      <w:pPr>
        <w:pStyle w:val="Heading2"/>
      </w:pPr>
      <w:r>
        <w:t xml:space="preserve">Econometric Model</w:t>
      </w:r>
    </w:p>
    <w:bookmarkStart w:id="84" w:name="main-specification-triple-did"/>
    <w:p>
      <w:pPr>
        <w:pStyle w:val="Heading3"/>
      </w:pPr>
      <w:r>
        <w:t xml:space="preserve">Main Specification (Triple DiD)</w:t>
      </w:r>
    </w:p>
    <w:p>
      <w:pPr>
        <w:pStyle w:val="SourceCode"/>
      </w:pPr>
      <w:r>
        <w:rPr>
          <w:rStyle w:val="VerbatimChar"/>
        </w:rPr>
        <w:t xml:space="preserve">GenAI_Adoption_{it} = beta_0</w:t>
      </w:r>
      <w:r>
        <w:br/>
      </w:r>
      <w:r>
        <w:rPr>
          <w:rStyle w:val="VerbatimChar"/>
        </w:rPr>
        <w:t xml:space="preserve">                    + beta_1 * Post_ChatGPT_t</w:t>
      </w:r>
      <w:r>
        <w:br/>
      </w:r>
      <w:r>
        <w:rPr>
          <w:rStyle w:val="VerbatimChar"/>
        </w:rPr>
        <w:t xml:space="preserve">                    + beta_2 * TechBoard_i</w:t>
      </w:r>
      <w:r>
        <w:br/>
      </w:r>
      <w:r>
        <w:rPr>
          <w:rStyle w:val="VerbatimChar"/>
        </w:rPr>
        <w:t xml:space="preserve">                    + beta_3 * (Post x TechBoard)</w:t>
      </w:r>
      <w:r>
        <w:br/>
      </w:r>
      <w:r>
        <w:rPr>
          <w:rStyle w:val="VerbatimChar"/>
        </w:rPr>
        <w:t xml:space="preserve">                    + beta_4 * (Post x TechBoard x Vintage_i)</w:t>
      </w:r>
      <w:r>
        <w:br/>
      </w:r>
      <w:r>
        <w:rPr>
          <w:rStyle w:val="VerbatimChar"/>
        </w:rPr>
        <w:t xml:space="preserve">                    + gamma * Controls_{it}</w:t>
      </w:r>
      <w:r>
        <w:br/>
      </w:r>
      <w:r>
        <w:rPr>
          <w:rStyle w:val="VerbatimChar"/>
        </w:rPr>
        <w:t xml:space="preserve">                    + alpha_i    (firm fixed effects)</w:t>
      </w:r>
      <w:r>
        <w:br/>
      </w:r>
      <w:r>
        <w:rPr>
          <w:rStyle w:val="VerbatimChar"/>
        </w:rPr>
        <w:t xml:space="preserve">                    + delta_t    (time fixed effects)</w:t>
      </w:r>
      <w:r>
        <w:br/>
      </w:r>
      <w:r>
        <w:rPr>
          <w:rStyle w:val="VerbatimChar"/>
        </w:rPr>
        <w:t xml:space="preserve">                    + epsilon_{it}</w:t>
      </w:r>
    </w:p>
    <w:p>
      <w:pPr>
        <w:pStyle w:val="FirstParagraph"/>
      </w:pPr>
      <w:r>
        <w:rPr>
          <w:b/>
          <w:bCs/>
        </w:rPr>
        <w:t xml:space="preserve">Key coefficient</w:t>
      </w:r>
      <w:r>
        <w:t xml:space="preserve">:</w:t>
      </w:r>
      <w:r>
        <w:t xml:space="preserve"> </w:t>
      </w:r>
      <w:r>
        <w:rPr>
          <w:rStyle w:val="VerbatimChar"/>
        </w:rPr>
        <w:t xml:space="preserve">beta_4</w:t>
      </w:r>
      <w:r>
        <w:t xml:space="preserve"> </w:t>
      </w:r>
      <w:r>
        <w:t xml:space="preserve">captures whether education vintage moderates the effect of board technical competence on GenAI adoption in the post-ChatGPT period.</w:t>
      </w:r>
    </w:p>
    <w:bookmarkEnd w:id="84"/>
    <w:bookmarkStart w:id="85" w:name="hypothesis-specific-models"/>
    <w:p>
      <w:pPr>
        <w:pStyle w:val="Heading3"/>
      </w:pPr>
      <w:r>
        <w:t xml:space="preserve">Hypothesis-Specific Models</w:t>
      </w:r>
    </w:p>
    <w:p>
      <w:pPr>
        <w:pStyle w:val="FirstParagraph"/>
      </w:pPr>
      <w:r>
        <w:rPr>
          <w:b/>
          <w:bCs/>
        </w:rPr>
        <w:t xml:space="preserve">H1 (Vintage -&gt; Adoption Speed)</w:t>
      </w:r>
      <w:r>
        <w:t xml:space="preserve">:</w:t>
      </w:r>
    </w:p>
    <w:p>
      <w:pPr>
        <w:pStyle w:val="SourceCode"/>
      </w:pPr>
      <w:r>
        <w:rPr>
          <w:rStyle w:val="VerbatimChar"/>
        </w:rPr>
        <w:t xml:space="preserve">AI_Adoption_Speed_{it} = ... + beta * TKL_{it} + ...</w:t>
      </w:r>
    </w:p>
    <w:p>
      <w:pPr>
        <w:pStyle w:val="FirstParagraph"/>
      </w:pPr>
      <w:r>
        <w:t xml:space="preserve">Where TKL = Tech Knowledge Latency (Current Year - STEM Degree Year)</w:t>
      </w:r>
    </w:p>
    <w:p>
      <w:pPr>
        <w:pStyle w:val="BodyText"/>
      </w:pPr>
      <w:r>
        <w:rPr>
          <w:b/>
          <w:bCs/>
        </w:rPr>
        <w:t xml:space="preserve">H2 (Tech Committee Vintage)</w:t>
      </w:r>
      <w:r>
        <w:t xml:space="preserve">:</w:t>
      </w:r>
    </w:p>
    <w:p>
      <w:pPr>
        <w:pStyle w:val="SourceCode"/>
      </w:pPr>
      <w:r>
        <w:rPr>
          <w:rStyle w:val="VerbatimChar"/>
        </w:rPr>
        <w:t xml:space="preserve">GenAI_Adoption_{it} = ... + beta_1 * TechCommittee_i</w:t>
      </w:r>
      <w:r>
        <w:br/>
      </w:r>
      <w:r>
        <w:rPr>
          <w:rStyle w:val="VerbatimChar"/>
        </w:rPr>
        <w:t xml:space="preserve">                          + beta_2 * (TechCommittee x OldVintage_i) + ...</w:t>
      </w:r>
    </w:p>
    <w:p>
      <w:pPr>
        <w:pStyle w:val="FirstParagraph"/>
      </w:pPr>
      <w:r>
        <w:rPr>
          <w:b/>
          <w:bCs/>
        </w:rPr>
        <w:t xml:space="preserve">H3 (Vintage Faultlines)</w:t>
      </w:r>
      <w:r>
        <w:t xml:space="preserve">:</w:t>
      </w:r>
    </w:p>
    <w:p>
      <w:pPr>
        <w:pStyle w:val="SourceCode"/>
      </w:pPr>
      <w:r>
        <w:rPr>
          <w:rStyle w:val="VerbatimChar"/>
        </w:rPr>
        <w:t xml:space="preserve">GenAI_Adoption_{it} = ... + beta * Vintage_Variance_{it} + ...</w:t>
      </w:r>
    </w:p>
    <w:p>
      <w:pPr>
        <w:pStyle w:val="FirstParagraph"/>
      </w:pPr>
      <w:r>
        <w:rPr>
          <w:b/>
          <w:bCs/>
        </w:rPr>
        <w:t xml:space="preserve">H4 (Reskilling Mitigation)</w:t>
      </w:r>
      <w:r>
        <w:t xml:space="preserve">:</w:t>
      </w:r>
    </w:p>
    <w:p>
      <w:pPr>
        <w:pStyle w:val="SourceCode"/>
      </w:pPr>
      <w:r>
        <w:rPr>
          <w:rStyle w:val="VerbatimChar"/>
        </w:rPr>
        <w:t xml:space="preserve">GenAI_Adoption_{it} = ... + beta_1 * OldVintage_i</w:t>
      </w:r>
      <w:r>
        <w:br/>
      </w:r>
      <w:r>
        <w:rPr>
          <w:rStyle w:val="VerbatimChar"/>
        </w:rPr>
        <w:t xml:space="preserve">                          + beta_2 * (OldVintage x ReskillingIndex_i) + ...</w:t>
      </w:r>
    </w:p>
    <w:bookmarkEnd w:id="85"/>
    <w:bookmarkEnd w:id="86"/>
    <w:bookmarkStart w:id="87" w:name="supplementary-analyses"/>
    <w:p>
      <w:pPr>
        <w:pStyle w:val="Heading2"/>
      </w:pPr>
      <w:r>
        <w:t xml:space="preserve">Supplementary Analyses</w:t>
      </w:r>
    </w:p>
    <w:tbl>
      <w:tblPr>
        <w:tblStyle w:val="Table"/>
        <w:tblW w:type="pct" w:w="5000"/>
        <w:tblLayout w:type="fixed"/>
        <w:tblLook w:firstRow="1" w:lastRow="0" w:firstColumn="0" w:lastColumn="0" w:noHBand="0" w:noVBand="0" w:val="0020"/>
      </w:tblPr>
      <w:tblGrid>
        <w:gridCol w:w="2933"/>
        <w:gridCol w:w="2346"/>
        <w:gridCol w:w="2640"/>
      </w:tblGrid>
      <w:tr>
        <w:trPr>
          <w:tblHeader w:val="on"/>
        </w:trPr>
        <w:tc>
          <w:tcPr/>
          <w:p>
            <w:pPr>
              <w:pStyle w:val="Compact"/>
            </w:pPr>
            <w:r>
              <w:t xml:space="preserve">Analysis</w:t>
            </w:r>
          </w:p>
        </w:tc>
        <w:tc>
          <w:tcPr/>
          <w:p>
            <w:pPr>
              <w:pStyle w:val="Compact"/>
            </w:pPr>
            <w:r>
              <w:t xml:space="preserve">Method</w:t>
            </w:r>
          </w:p>
        </w:tc>
        <w:tc>
          <w:tcPr/>
          <w:p>
            <w:pPr>
              <w:pStyle w:val="Compact"/>
            </w:pPr>
            <w:r>
              <w:t xml:space="preserve">Purpose</w:t>
            </w:r>
          </w:p>
        </w:tc>
      </w:tr>
      <w:tr>
        <w:tc>
          <w:tcPr/>
          <w:p>
            <w:pPr>
              <w:pStyle w:val="Compact"/>
            </w:pPr>
            <w:r>
              <w:t xml:space="preserve">Event Study</w:t>
            </w:r>
          </w:p>
        </w:tc>
        <w:tc>
          <w:tcPr/>
          <w:p>
            <w:pPr>
              <w:pStyle w:val="Compact"/>
            </w:pPr>
            <w:r>
              <w:t xml:space="preserve">Quarterly coefficient plot</w:t>
            </w:r>
          </w:p>
        </w:tc>
        <w:tc>
          <w:tcPr/>
          <w:p>
            <w:pPr>
              <w:pStyle w:val="Compact"/>
            </w:pPr>
            <w:r>
              <w:t xml:space="preserve">Verify parallel trends assumption</w:t>
            </w:r>
          </w:p>
        </w:tc>
      </w:tr>
      <w:tr>
        <w:tc>
          <w:tcPr/>
          <w:p>
            <w:pPr>
              <w:pStyle w:val="Compact"/>
            </w:pPr>
            <w:r>
              <w:t xml:space="preserve">Heterogeneity</w:t>
            </w:r>
          </w:p>
        </w:tc>
        <w:tc>
          <w:tcPr/>
          <w:p>
            <w:pPr>
              <w:pStyle w:val="Compact"/>
            </w:pPr>
            <w:r>
              <w:t xml:space="preserve">Subgroup DiD</w:t>
            </w:r>
          </w:p>
        </w:tc>
        <w:tc>
          <w:tcPr/>
          <w:p>
            <w:pPr>
              <w:pStyle w:val="Compact"/>
            </w:pPr>
            <w:r>
              <w:t xml:space="preserve">Industry (tech vs. non-tech), firm size effects</w:t>
            </w:r>
          </w:p>
        </w:tc>
      </w:tr>
      <w:tr>
        <w:tc>
          <w:tcPr/>
          <w:p>
            <w:pPr>
              <w:pStyle w:val="Compact"/>
            </w:pPr>
            <w:r>
              <w:t xml:space="preserve">Instrumental Variable</w:t>
            </w:r>
          </w:p>
        </w:tc>
        <w:tc>
          <w:tcPr/>
          <w:p>
            <w:pPr>
              <w:pStyle w:val="Compact"/>
            </w:pPr>
            <w:r>
              <w:t xml:space="preserve">2SLS with birth year</w:t>
            </w:r>
          </w:p>
        </w:tc>
        <w:tc>
          <w:tcPr/>
          <w:p>
            <w:pPr>
              <w:pStyle w:val="Compact"/>
            </w:pPr>
            <w:r>
              <w:t xml:space="preserve">Address endogeneity of vintage</w:t>
            </w:r>
          </w:p>
        </w:tc>
      </w:tr>
      <w:tr>
        <w:tc>
          <w:tcPr/>
          <w:p>
            <w:pPr>
              <w:pStyle w:val="Compact"/>
            </w:pPr>
            <w:r>
              <w:t xml:space="preserve">Robustness</w:t>
            </w:r>
          </w:p>
        </w:tc>
        <w:tc>
          <w:tcPr/>
          <w:p>
            <w:pPr>
              <w:pStyle w:val="Compact"/>
            </w:pPr>
            <w:r>
              <w:t xml:space="preserve">Varying cutoffs</w:t>
            </w:r>
          </w:p>
        </w:tc>
        <w:tc>
          <w:tcPr/>
          <w:p>
            <w:pPr>
              <w:pStyle w:val="Compact"/>
            </w:pPr>
            <w:r>
              <w:t xml:space="preserve">Sensitivity to vintage classification (2010, 2012, 2015)</w:t>
            </w:r>
          </w:p>
        </w:tc>
      </w:tr>
      <w:tr>
        <w:tc>
          <w:tcPr/>
          <w:p>
            <w:pPr>
              <w:pStyle w:val="Compact"/>
            </w:pPr>
            <w:r>
              <w:t xml:space="preserve">Mediation</w:t>
            </w:r>
          </w:p>
        </w:tc>
        <w:tc>
          <w:tcPr/>
          <w:p>
            <w:pPr>
              <w:pStyle w:val="Compact"/>
            </w:pPr>
            <w:r>
              <w:t xml:space="preserve">Baron-Kenny / Causal Mediation</w:t>
            </w:r>
          </w:p>
        </w:tc>
        <w:tc>
          <w:tcPr/>
          <w:p>
            <w:pPr>
              <w:pStyle w:val="Compact"/>
            </w:pPr>
            <w:r>
              <w:t xml:space="preserve">Board decision process as mediator</w:t>
            </w:r>
          </w:p>
        </w:tc>
      </w:tr>
      <w:tr>
        <w:tc>
          <w:tcPr/>
          <w:p>
            <w:pPr>
              <w:pStyle w:val="Compact"/>
            </w:pPr>
            <w:r>
              <w:t xml:space="preserve">Placebo</w:t>
            </w:r>
          </w:p>
        </w:tc>
        <w:tc>
          <w:tcPr/>
          <w:p>
            <w:pPr>
              <w:pStyle w:val="Compact"/>
            </w:pPr>
            <w:r>
              <w:t xml:space="preserve">Alternative tech DiD</w:t>
            </w:r>
          </w:p>
        </w:tc>
        <w:tc>
          <w:tcPr/>
          <w:p>
            <w:pPr>
              <w:pStyle w:val="Compact"/>
            </w:pPr>
            <w:r>
              <w:t xml:space="preserve">Cloud/blockchain should show no vintage effect</w:t>
            </w:r>
          </w:p>
        </w:tc>
      </w:tr>
    </w:tbl>
    <w:bookmarkEnd w:id="87"/>
    <w:bookmarkStart w:id="88" w:name="software-and-tools"/>
    <w:p>
      <w:pPr>
        <w:pStyle w:val="Heading2"/>
      </w:pPr>
      <w:r>
        <w:t xml:space="preserve">Software and Tools</w:t>
      </w:r>
    </w:p>
    <w:p>
      <w:pPr>
        <w:pStyle w:val="Compact"/>
        <w:numPr>
          <w:ilvl w:val="0"/>
          <w:numId w:val="1037"/>
        </w:numPr>
      </w:pPr>
      <w:r>
        <w:rPr>
          <w:b/>
          <w:bCs/>
        </w:rPr>
        <w:t xml:space="preserve">Statistical software</w:t>
      </w:r>
      <w:r>
        <w:t xml:space="preserve">: Stata / R</w:t>
      </w:r>
    </w:p>
    <w:p>
      <w:pPr>
        <w:pStyle w:val="Compact"/>
        <w:numPr>
          <w:ilvl w:val="0"/>
          <w:numId w:val="1037"/>
        </w:numPr>
      </w:pPr>
      <w:r>
        <w:rPr>
          <w:b/>
          <w:bCs/>
        </w:rPr>
        <w:t xml:space="preserve">Text analysis</w:t>
      </w:r>
      <w:r>
        <w:t xml:space="preserve">: Python (for 10-K keyword extraction)</w:t>
      </w:r>
    </w:p>
    <w:p>
      <w:pPr>
        <w:pStyle w:val="Compact"/>
        <w:numPr>
          <w:ilvl w:val="0"/>
          <w:numId w:val="1037"/>
        </w:numPr>
      </w:pPr>
      <w:r>
        <w:rPr>
          <w:b/>
          <w:bCs/>
        </w:rPr>
        <w:t xml:space="preserve">Visualization</w:t>
      </w:r>
      <w:r>
        <w:t xml:space="preserve">: R (ggplot2) / Stata</w:t>
      </w:r>
    </w:p>
    <w:bookmarkEnd w:id="88"/>
    <w:bookmarkEnd w:id="89"/>
    <w:bookmarkStart w:id="99" w:name="data-collection"/>
    <w:p>
      <w:pPr>
        <w:pStyle w:val="Heading1"/>
      </w:pPr>
      <w:r>
        <w:t xml:space="preserve">Data Collection</w:t>
      </w:r>
    </w:p>
    <w:bookmarkStart w:id="90" w:name="primary-data-sources"/>
    <w:p>
      <w:pPr>
        <w:pStyle w:val="Heading2"/>
      </w:pPr>
      <w:r>
        <w:t xml:space="preserve">Primary Data Sources</w:t>
      </w:r>
    </w:p>
    <w:tbl>
      <w:tblPr>
        <w:tblStyle w:val="Table"/>
        <w:tblW w:type="pct" w:w="5000"/>
        <w:tblLayout w:type="fixed"/>
        <w:tblLook w:firstRow="1" w:lastRow="0" w:firstColumn="0" w:lastColumn="0" w:noHBand="0" w:noVBand="0" w:val="0020"/>
      </w:tblPr>
      <w:tblGrid>
        <w:gridCol w:w="2030"/>
        <w:gridCol w:w="2030"/>
        <w:gridCol w:w="2233"/>
        <w:gridCol w:w="1624"/>
      </w:tblGrid>
      <w:tr>
        <w:trPr>
          <w:tblHeader w:val="on"/>
        </w:trPr>
        <w:tc>
          <w:tcPr/>
          <w:p>
            <w:pPr>
              <w:pStyle w:val="Compact"/>
            </w:pPr>
            <w:r>
              <w:t xml:space="preserve">Database</w:t>
            </w:r>
          </w:p>
        </w:tc>
        <w:tc>
          <w:tcPr/>
          <w:p>
            <w:pPr>
              <w:pStyle w:val="Compact"/>
            </w:pPr>
            <w:r>
              <w:t xml:space="preserve">Provider</w:t>
            </w:r>
          </w:p>
        </w:tc>
        <w:tc>
          <w:tcPr/>
          <w:p>
            <w:pPr>
              <w:pStyle w:val="Compact"/>
            </w:pPr>
            <w:r>
              <w:t xml:space="preserve">Variables</w:t>
            </w:r>
          </w:p>
        </w:tc>
        <w:tc>
          <w:tcPr/>
          <w:p>
            <w:pPr>
              <w:pStyle w:val="Compact"/>
            </w:pPr>
            <w:r>
              <w:t xml:space="preserve">Access</w:t>
            </w:r>
          </w:p>
        </w:tc>
      </w:tr>
      <w:tr>
        <w:tc>
          <w:tcPr/>
          <w:p>
            <w:pPr>
              <w:pStyle w:val="Compact"/>
            </w:pPr>
            <w:r>
              <w:rPr>
                <w:b/>
                <w:bCs/>
              </w:rPr>
              <w:t xml:space="preserve">BoardEx</w:t>
            </w:r>
          </w:p>
        </w:tc>
        <w:tc>
          <w:tcPr/>
          <w:p>
            <w:pPr>
              <w:pStyle w:val="Compact"/>
            </w:pPr>
            <w:r>
              <w:t xml:space="preserve">WRDS</w:t>
            </w:r>
          </w:p>
        </w:tc>
        <w:tc>
          <w:tcPr/>
          <w:p>
            <w:pPr>
              <w:pStyle w:val="Compact"/>
            </w:pPr>
            <w:r>
              <w:t xml:space="preserve">Director education (AwardDate, Qualification, Subject), Committee membership, Employment history</w:t>
            </w:r>
          </w:p>
        </w:tc>
        <w:tc>
          <w:tcPr/>
          <w:p>
            <w:pPr>
              <w:pStyle w:val="Compact"/>
            </w:pPr>
            <w:r>
              <w:t xml:space="preserve">University subscription</w:t>
            </w:r>
          </w:p>
        </w:tc>
      </w:tr>
      <w:tr>
        <w:tc>
          <w:tcPr/>
          <w:p>
            <w:pPr>
              <w:pStyle w:val="Compact"/>
            </w:pPr>
            <w:r>
              <w:rPr>
                <w:b/>
                <w:bCs/>
              </w:rPr>
              <w:t xml:space="preserve">Compustat</w:t>
            </w:r>
          </w:p>
        </w:tc>
        <w:tc>
          <w:tcPr/>
          <w:p>
            <w:pPr>
              <w:pStyle w:val="Compact"/>
            </w:pPr>
            <w:r>
              <w:t xml:space="preserve">S&amp;P Global via WRDS</w:t>
            </w:r>
          </w:p>
        </w:tc>
        <w:tc>
          <w:tcPr/>
          <w:p>
            <w:pPr>
              <w:pStyle w:val="Compact"/>
            </w:pPr>
            <w:r>
              <w:t xml:space="preserve">Total assets, Revenue, R&amp;D expenditure, SIC/NAICS codes</w:t>
            </w:r>
          </w:p>
        </w:tc>
        <w:tc>
          <w:tcPr/>
          <w:p>
            <w:pPr>
              <w:pStyle w:val="Compact"/>
            </w:pPr>
            <w:r>
              <w:t xml:space="preserve">University subscription</w:t>
            </w:r>
          </w:p>
        </w:tc>
      </w:tr>
      <w:tr>
        <w:tc>
          <w:tcPr/>
          <w:p>
            <w:pPr>
              <w:pStyle w:val="Compact"/>
            </w:pPr>
            <w:r>
              <w:rPr>
                <w:b/>
                <w:bCs/>
              </w:rPr>
              <w:t xml:space="preserve">CRSP</w:t>
            </w:r>
          </w:p>
        </w:tc>
        <w:tc>
          <w:tcPr/>
          <w:p>
            <w:pPr>
              <w:pStyle w:val="Compact"/>
            </w:pPr>
            <w:r>
              <w:t xml:space="preserve">WRDS</w:t>
            </w:r>
          </w:p>
        </w:tc>
        <w:tc>
          <w:tcPr/>
          <w:p>
            <w:pPr>
              <w:pStyle w:val="Compact"/>
            </w:pPr>
            <w:r>
              <w:t xml:space="preserve">Stock returns, market capitalization</w:t>
            </w:r>
          </w:p>
        </w:tc>
        <w:tc>
          <w:tcPr/>
          <w:p>
            <w:pPr>
              <w:pStyle w:val="Compact"/>
            </w:pPr>
            <w:r>
              <w:t xml:space="preserve">University subscription</w:t>
            </w:r>
          </w:p>
        </w:tc>
      </w:tr>
      <w:tr>
        <w:tc>
          <w:tcPr/>
          <w:p>
            <w:pPr>
              <w:pStyle w:val="Compact"/>
            </w:pPr>
            <w:r>
              <w:rPr>
                <w:b/>
                <w:bCs/>
              </w:rPr>
              <w:t xml:space="preserve">SEC EDGAR</w:t>
            </w:r>
          </w:p>
        </w:tc>
        <w:tc>
          <w:tcPr/>
          <w:p>
            <w:pPr>
              <w:pStyle w:val="Compact"/>
            </w:pPr>
            <w:r>
              <w:t xml:space="preserve">SEC</w:t>
            </w:r>
          </w:p>
        </w:tc>
        <w:tc>
          <w:tcPr/>
          <w:p>
            <w:pPr>
              <w:pStyle w:val="Compact"/>
            </w:pPr>
            <w:r>
              <w:t xml:space="preserve">10-K annual filings (full text for NLP analysis)</w:t>
            </w:r>
          </w:p>
        </w:tc>
        <w:tc>
          <w:tcPr/>
          <w:p>
            <w:pPr>
              <w:pStyle w:val="Compact"/>
            </w:pPr>
            <w:r>
              <w:t xml:space="preserve">Public access</w:t>
            </w:r>
          </w:p>
        </w:tc>
      </w:tr>
    </w:tbl>
    <w:bookmarkEnd w:id="90"/>
    <w:bookmarkStart w:id="94" w:name="variable-construction"/>
    <w:p>
      <w:pPr>
        <w:pStyle w:val="Heading2"/>
      </w:pPr>
      <w:r>
        <w:t xml:space="preserve">Variable Construction</w:t>
      </w:r>
    </w:p>
    <w:bookmarkStart w:id="91" w:name="independent-variables"/>
    <w:p>
      <w:pPr>
        <w:pStyle w:val="Heading3"/>
      </w:pPr>
      <w:r>
        <w:t xml:space="preserve">Independent Variables</w:t>
      </w:r>
    </w:p>
    <w:p>
      <w:pPr>
        <w:pStyle w:val="FirstParagraph"/>
      </w:pPr>
      <w:r>
        <w:rPr>
          <w:b/>
          <w:bCs/>
        </w:rPr>
        <w:t xml:space="preserve">Tech Knowledge Latency (TKL)</w:t>
      </w:r>
    </w:p>
    <w:p>
      <w:pPr>
        <w:pStyle w:val="Compact"/>
        <w:numPr>
          <w:ilvl w:val="0"/>
          <w:numId w:val="1038"/>
        </w:numPr>
      </w:pPr>
      <w:r>
        <w:t xml:space="preserve">Formula:</w:t>
      </w:r>
      <w:r>
        <w:t xml:space="preserve"> </w:t>
      </w:r>
      <w:r>
        <w:rPr>
          <w:rStyle w:val="VerbatimChar"/>
        </w:rPr>
        <w:t xml:space="preserve">Current Year - STEM Degree Award Year</w:t>
      </w:r>
    </w:p>
    <w:p>
      <w:pPr>
        <w:pStyle w:val="Compact"/>
        <w:numPr>
          <w:ilvl w:val="0"/>
          <w:numId w:val="1038"/>
        </w:numPr>
      </w:pPr>
      <w:r>
        <w:t xml:space="preserve">Source: BoardEx AwardDate field for STEM-classified qualifications</w:t>
      </w:r>
    </w:p>
    <w:p>
      <w:pPr>
        <w:pStyle w:val="Compact"/>
        <w:numPr>
          <w:ilvl w:val="0"/>
          <w:numId w:val="1038"/>
        </w:numPr>
      </w:pPr>
      <w:r>
        <w:t xml:space="preserve">Board-level aggregation: Mean TKL across all STEM-degreed directors</w:t>
      </w:r>
    </w:p>
    <w:p>
      <w:pPr>
        <w:pStyle w:val="FirstParagraph"/>
      </w:pPr>
      <w:r>
        <w:rPr>
          <w:b/>
          <w:bCs/>
        </w:rPr>
        <w:t xml:space="preserve">Education Vintage Category</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Category</w:t>
            </w:r>
          </w:p>
        </w:tc>
        <w:tc>
          <w:tcPr/>
          <w:p>
            <w:pPr>
              <w:pStyle w:val="Compact"/>
            </w:pPr>
            <w:r>
              <w:t xml:space="preserve">Graduation Period</w:t>
            </w:r>
          </w:p>
        </w:tc>
        <w:tc>
          <w:tcPr/>
          <w:p>
            <w:pPr>
              <w:pStyle w:val="Compact"/>
            </w:pPr>
            <w:r>
              <w:t xml:space="preserve">Technological Era</w:t>
            </w:r>
          </w:p>
        </w:tc>
      </w:tr>
      <w:tr>
        <w:tc>
          <w:tcPr/>
          <w:p>
            <w:pPr>
              <w:pStyle w:val="Compact"/>
            </w:pPr>
            <w:r>
              <w:t xml:space="preserve">Legacy Vintage</w:t>
            </w:r>
          </w:p>
        </w:tc>
        <w:tc>
          <w:tcPr/>
          <w:p>
            <w:pPr>
              <w:pStyle w:val="Compact"/>
            </w:pPr>
            <w:r>
              <w:t xml:space="preserve">Pre-2000</w:t>
            </w:r>
          </w:p>
        </w:tc>
        <w:tc>
          <w:tcPr/>
          <w:p>
            <w:pPr>
              <w:pStyle w:val="Compact"/>
            </w:pPr>
            <w:r>
              <w:t xml:space="preserve">Mainframe, early internet</w:t>
            </w:r>
          </w:p>
        </w:tc>
      </w:tr>
      <w:tr>
        <w:tc>
          <w:tcPr/>
          <w:p>
            <w:pPr>
              <w:pStyle w:val="Compact"/>
            </w:pPr>
            <w:r>
              <w:t xml:space="preserve">Transitional Vintage</w:t>
            </w:r>
          </w:p>
        </w:tc>
        <w:tc>
          <w:tcPr/>
          <w:p>
            <w:pPr>
              <w:pStyle w:val="Compact"/>
            </w:pPr>
            <w:r>
              <w:t xml:space="preserve">2000-2012</w:t>
            </w:r>
          </w:p>
        </w:tc>
        <w:tc>
          <w:tcPr/>
          <w:p>
            <w:pPr>
              <w:pStyle w:val="Compact"/>
            </w:pPr>
            <w:r>
              <w:t xml:space="preserve">Web 2.0, mobile, early ML</w:t>
            </w:r>
          </w:p>
        </w:tc>
      </w:tr>
      <w:tr>
        <w:tc>
          <w:tcPr/>
          <w:p>
            <w:pPr>
              <w:pStyle w:val="Compact"/>
            </w:pPr>
            <w:r>
              <w:t xml:space="preserve">Modern Vintage</w:t>
            </w:r>
          </w:p>
        </w:tc>
        <w:tc>
          <w:tcPr/>
          <w:p>
            <w:pPr>
              <w:pStyle w:val="Compact"/>
            </w:pPr>
            <w:r>
              <w:t xml:space="preserve">Post-2012</w:t>
            </w:r>
          </w:p>
        </w:tc>
        <w:tc>
          <w:tcPr/>
          <w:p>
            <w:pPr>
              <w:pStyle w:val="Compact"/>
            </w:pPr>
            <w:r>
              <w:t xml:space="preserve">Deep learning, transformers</w:t>
            </w:r>
          </w:p>
        </w:tc>
      </w:tr>
    </w:tbl>
    <w:p>
      <w:pPr>
        <w:pStyle w:val="BodyText"/>
      </w:pPr>
      <w:r>
        <w:rPr>
          <w:b/>
          <w:bCs/>
        </w:rPr>
        <w:t xml:space="preserve">Cognitive Vintage Faultline</w:t>
      </w:r>
    </w:p>
    <w:p>
      <w:pPr>
        <w:pStyle w:val="Compact"/>
        <w:numPr>
          <w:ilvl w:val="0"/>
          <w:numId w:val="1039"/>
        </w:numPr>
      </w:pPr>
      <w:r>
        <w:t xml:space="preserve">Formula: Variance of TKL within the board</w:t>
      </w:r>
    </w:p>
    <w:p>
      <w:pPr>
        <w:pStyle w:val="Compact"/>
        <w:numPr>
          <w:ilvl w:val="0"/>
          <w:numId w:val="1039"/>
        </w:numPr>
      </w:pPr>
      <w:r>
        <w:t xml:space="preserve">Measures: Intra-board heterogeneity in technical education recency</w:t>
      </w:r>
    </w:p>
    <w:p>
      <w:pPr>
        <w:pStyle w:val="FirstParagraph"/>
      </w:pPr>
      <w:r>
        <w:rPr>
          <w:b/>
          <w:bCs/>
        </w:rPr>
        <w:t xml:space="preserve">Reskilling Index</w:t>
      </w:r>
    </w:p>
    <w:p>
      <w:pPr>
        <w:pStyle w:val="Compact"/>
        <w:numPr>
          <w:ilvl w:val="0"/>
          <w:numId w:val="1040"/>
        </w:numPr>
      </w:pPr>
      <w:r>
        <w:t xml:space="preserve">Formula: Count of technical certifications or degrees obtained after age 45</w:t>
      </w:r>
    </w:p>
    <w:p>
      <w:pPr>
        <w:pStyle w:val="Compact"/>
        <w:numPr>
          <w:ilvl w:val="0"/>
          <w:numId w:val="1040"/>
        </w:numPr>
      </w:pPr>
      <w:r>
        <w:t xml:space="preserve">Source: BoardEx additional qualifications with AwardDate</w:t>
      </w:r>
    </w:p>
    <w:bookmarkEnd w:id="91"/>
    <w:bookmarkStart w:id="92" w:name="dependent-variables"/>
    <w:p>
      <w:pPr>
        <w:pStyle w:val="Heading3"/>
      </w:pPr>
      <w:r>
        <w:t xml:space="preserve">Dependent Variables</w:t>
      </w:r>
    </w:p>
    <w:p>
      <w:pPr>
        <w:pStyle w:val="FirstParagraph"/>
      </w:pPr>
      <w:r>
        <w:rPr>
          <w:b/>
          <w:bCs/>
        </w:rPr>
        <w:t xml:space="preserve">GenAI Adoption Score</w:t>
      </w:r>
    </w:p>
    <w:p>
      <w:pPr>
        <w:pStyle w:val="Compact"/>
        <w:numPr>
          <w:ilvl w:val="0"/>
          <w:numId w:val="1041"/>
        </w:numPr>
      </w:pPr>
      <w:r>
        <w:t xml:space="preserve">Method: NLP-based keyword extraction from 10-K filings</w:t>
      </w:r>
    </w:p>
    <w:p>
      <w:pPr>
        <w:pStyle w:val="Compact"/>
        <w:numPr>
          <w:ilvl w:val="0"/>
          <w:numId w:val="1041"/>
        </w:numPr>
      </w:pPr>
      <w:r>
        <w:t xml:space="preserve">Keywords:</w:t>
      </w:r>
      <w:r>
        <w:t xml:space="preserve"> </w:t>
      </w:r>
      <w:r>
        <w:t xml:space="preserve">“Large Language Model,”</w:t>
      </w:r>
      <w:r>
        <w:t xml:space="preserve"> </w:t>
      </w:r>
      <w:r>
        <w:t xml:space="preserve">“Transformer,”</w:t>
      </w:r>
      <w:r>
        <w:t xml:space="preserve"> </w:t>
      </w:r>
      <w:r>
        <w:t xml:space="preserve">“Generative AI,”</w:t>
      </w:r>
      <w:r>
        <w:t xml:space="preserve"> </w:t>
      </w:r>
      <w:r>
        <w:t xml:space="preserve">“GPT,”</w:t>
      </w:r>
      <w:r>
        <w:t xml:space="preserve"> </w:t>
      </w:r>
      <w:r>
        <w:t xml:space="preserve">“Foundation Model,”</w:t>
      </w:r>
      <w:r>
        <w:t xml:space="preserve"> </w:t>
      </w:r>
      <w:r>
        <w:t xml:space="preserve">“Prompt Engineering,”</w:t>
      </w:r>
      <w:r>
        <w:t xml:space="preserve"> </w:t>
      </w:r>
      <w:r>
        <w:t xml:space="preserve">“AI-generated,”</w:t>
      </w:r>
      <w:r>
        <w:t xml:space="preserve"> </w:t>
      </w:r>
      <w:r>
        <w:t xml:space="preserve">“LLM”</w:t>
      </w:r>
    </w:p>
    <w:p>
      <w:pPr>
        <w:pStyle w:val="Compact"/>
        <w:numPr>
          <w:ilvl w:val="0"/>
          <w:numId w:val="1041"/>
        </w:numPr>
      </w:pPr>
      <w:r>
        <w:t xml:space="preserve">Scoring: TF-IDF weighted frequency per 10-K filing</w:t>
      </w:r>
    </w:p>
    <w:p>
      <w:pPr>
        <w:pStyle w:val="Compact"/>
        <w:numPr>
          <w:ilvl w:val="0"/>
          <w:numId w:val="1041"/>
        </w:numPr>
      </w:pPr>
      <w:r>
        <w:t xml:space="preserve">Exclusion: Generic tech terms (</w:t>
      </w:r>
      <w:r>
        <w:t xml:space="preserve">“Big Data,”</w:t>
      </w:r>
      <w:r>
        <w:t xml:space="preserve"> </w:t>
      </w:r>
      <w:r>
        <w:t xml:space="preserve">“Cloud,”</w:t>
      </w:r>
      <w:r>
        <w:t xml:space="preserve"> </w:t>
      </w:r>
      <w:r>
        <w:t xml:space="preserve">“Machine Learning”</w:t>
      </w:r>
      <w:r>
        <w:t xml:space="preserve">) to isolate GenAI-specific adoption</w:t>
      </w:r>
    </w:p>
    <w:p>
      <w:pPr>
        <w:pStyle w:val="FirstParagraph"/>
      </w:pPr>
      <w:r>
        <w:rPr>
          <w:b/>
          <w:bCs/>
        </w:rPr>
        <w:t xml:space="preserve">AI Adoption Speed</w:t>
      </w:r>
    </w:p>
    <w:p>
      <w:pPr>
        <w:pStyle w:val="Compact"/>
        <w:numPr>
          <w:ilvl w:val="0"/>
          <w:numId w:val="1042"/>
        </w:numPr>
      </w:pPr>
      <w:r>
        <w:t xml:space="preserve">Formula: Number of quarters from ChatGPT launch (2022 Q4) to first GenAI keyword appearance in 10-K</w:t>
      </w:r>
    </w:p>
    <w:p>
      <w:pPr>
        <w:pStyle w:val="Compact"/>
        <w:numPr>
          <w:ilvl w:val="0"/>
          <w:numId w:val="1042"/>
        </w:numPr>
      </w:pPr>
      <w:r>
        <w:t xml:space="preserve">Lower values = faster adoption</w:t>
      </w:r>
    </w:p>
    <w:bookmarkEnd w:id="92"/>
    <w:bookmarkStart w:id="93" w:name="control-variables"/>
    <w:p>
      <w:pPr>
        <w:pStyle w:val="Heading3"/>
      </w:pPr>
      <w:r>
        <w:t xml:space="preserve">Control Variables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Variable</w:t>
            </w:r>
          </w:p>
        </w:tc>
        <w:tc>
          <w:tcPr/>
          <w:p>
            <w:pPr>
              <w:pStyle w:val="Compact"/>
            </w:pPr>
            <w:r>
              <w:t xml:space="preserve">Source</w:t>
            </w:r>
          </w:p>
        </w:tc>
        <w:tc>
          <w:tcPr/>
          <w:p>
            <w:pPr>
              <w:pStyle w:val="Compact"/>
            </w:pPr>
            <w:r>
              <w:t xml:space="preserve">Measurement</w:t>
            </w:r>
          </w:p>
        </w:tc>
      </w:tr>
      <w:tr>
        <w:tc>
          <w:tcPr/>
          <w:p>
            <w:pPr>
              <w:pStyle w:val="Compact"/>
            </w:pPr>
            <w:r>
              <w:t xml:space="preserve">Firm Size</w:t>
            </w:r>
          </w:p>
        </w:tc>
        <w:tc>
          <w:tcPr/>
          <w:p>
            <w:pPr>
              <w:pStyle w:val="Compact"/>
            </w:pPr>
            <w:r>
              <w:t xml:space="preserve">Compustat</w:t>
            </w:r>
          </w:p>
        </w:tc>
        <w:tc>
          <w:tcPr/>
          <w:p>
            <w:pPr>
              <w:pStyle w:val="Compact"/>
            </w:pPr>
            <w:r>
              <w:t xml:space="preserve">Log(Total Assets)</w:t>
            </w:r>
          </w:p>
        </w:tc>
      </w:tr>
      <w:tr>
        <w:tc>
          <w:tcPr/>
          <w:p>
            <w:pPr>
              <w:pStyle w:val="Compact"/>
            </w:pPr>
            <w:r>
              <w:t xml:space="preserve">R&amp;D Intensity</w:t>
            </w:r>
          </w:p>
        </w:tc>
        <w:tc>
          <w:tcPr/>
          <w:p>
            <w:pPr>
              <w:pStyle w:val="Compact"/>
            </w:pPr>
            <w:r>
              <w:t xml:space="preserve">Compustat</w:t>
            </w:r>
          </w:p>
        </w:tc>
        <w:tc>
          <w:tcPr/>
          <w:p>
            <w:pPr>
              <w:pStyle w:val="Compact"/>
            </w:pPr>
            <w:r>
              <w:t xml:space="preserve">R&amp;D Expenditure / Revenue</w:t>
            </w:r>
          </w:p>
        </w:tc>
      </w:tr>
      <w:tr>
        <w:tc>
          <w:tcPr/>
          <w:p>
            <w:pPr>
              <w:pStyle w:val="Compact"/>
            </w:pPr>
            <w:r>
              <w:t xml:space="preserve">Industry</w:t>
            </w:r>
          </w:p>
        </w:tc>
        <w:tc>
          <w:tcPr/>
          <w:p>
            <w:pPr>
              <w:pStyle w:val="Compact"/>
            </w:pPr>
            <w:r>
              <w:t xml:space="preserve">Compustat</w:t>
            </w:r>
          </w:p>
        </w:tc>
        <w:tc>
          <w:tcPr/>
          <w:p>
            <w:pPr>
              <w:pStyle w:val="Compact"/>
            </w:pPr>
            <w:r>
              <w:t xml:space="preserve">SIC 2-digit / NAICS codes</w:t>
            </w:r>
          </w:p>
        </w:tc>
      </w:tr>
      <w:tr>
        <w:tc>
          <w:tcPr/>
          <w:p>
            <w:pPr>
              <w:pStyle w:val="Compact"/>
            </w:pPr>
            <w:r>
              <w:t xml:space="preserve">Board Size</w:t>
            </w:r>
          </w:p>
        </w:tc>
        <w:tc>
          <w:tcPr/>
          <w:p>
            <w:pPr>
              <w:pStyle w:val="Compact"/>
            </w:pPr>
            <w:r>
              <w:t xml:space="preserve">BoardEx</w:t>
            </w:r>
          </w:p>
        </w:tc>
        <w:tc>
          <w:tcPr/>
          <w:p>
            <w:pPr>
              <w:pStyle w:val="Compact"/>
            </w:pPr>
            <w:r>
              <w:t xml:space="preserve">Number of directors</w:t>
            </w:r>
          </w:p>
        </w:tc>
      </w:tr>
      <w:tr>
        <w:tc>
          <w:tcPr/>
          <w:p>
            <w:pPr>
              <w:pStyle w:val="Compact"/>
            </w:pPr>
            <w:r>
              <w:t xml:space="preserve">Board Independence</w:t>
            </w:r>
          </w:p>
        </w:tc>
        <w:tc>
          <w:tcPr/>
          <w:p>
            <w:pPr>
              <w:pStyle w:val="Compact"/>
            </w:pPr>
            <w:r>
              <w:t xml:space="preserve">BoardEx</w:t>
            </w:r>
          </w:p>
        </w:tc>
        <w:tc>
          <w:tcPr/>
          <w:p>
            <w:pPr>
              <w:pStyle w:val="Compact"/>
            </w:pPr>
            <w:r>
              <w:t xml:space="preserve">% independent directors</w:t>
            </w:r>
          </w:p>
        </w:tc>
      </w:tr>
      <w:tr>
        <w:tc>
          <w:tcPr/>
          <w:p>
            <w:pPr>
              <w:pStyle w:val="Compact"/>
            </w:pPr>
            <w:r>
              <w:t xml:space="preserve">CEO Tenure</w:t>
            </w:r>
          </w:p>
        </w:tc>
        <w:tc>
          <w:tcPr/>
          <w:p>
            <w:pPr>
              <w:pStyle w:val="Compact"/>
            </w:pPr>
            <w:r>
              <w:t xml:space="preserve">BoardEx</w:t>
            </w:r>
          </w:p>
        </w:tc>
        <w:tc>
          <w:tcPr/>
          <w:p>
            <w:pPr>
              <w:pStyle w:val="Compact"/>
            </w:pPr>
            <w:r>
              <w:t xml:space="preserve">Years as CEO</w:t>
            </w:r>
          </w:p>
        </w:tc>
      </w:tr>
      <w:tr>
        <w:tc>
          <w:tcPr/>
          <w:p>
            <w:pPr>
              <w:pStyle w:val="Compact"/>
            </w:pPr>
            <w:r>
              <w:t xml:space="preserve">Firm Age</w:t>
            </w:r>
          </w:p>
        </w:tc>
        <w:tc>
          <w:tcPr/>
          <w:p>
            <w:pPr>
              <w:pStyle w:val="Compact"/>
            </w:pPr>
            <w:r>
              <w:t xml:space="preserve">Compustat</w:t>
            </w:r>
          </w:p>
        </w:tc>
        <w:tc>
          <w:tcPr/>
          <w:p>
            <w:pPr>
              <w:pStyle w:val="Compact"/>
            </w:pPr>
            <w:r>
              <w:t xml:space="preserve">Years since IPO</w:t>
            </w:r>
          </w:p>
        </w:tc>
      </w:tr>
      <w:tr>
        <w:tc>
          <w:tcPr/>
          <w:p>
            <w:pPr>
              <w:pStyle w:val="Compact"/>
            </w:pPr>
            <w:r>
              <w:t xml:space="preserve">Prior IT Investment</w:t>
            </w:r>
          </w:p>
        </w:tc>
        <w:tc>
          <w:tcPr/>
          <w:p>
            <w:pPr>
              <w:pStyle w:val="Compact"/>
            </w:pPr>
            <w:r>
              <w:t xml:space="preserve">Compustat</w:t>
            </w:r>
          </w:p>
        </w:tc>
        <w:tc>
          <w:tcPr/>
          <w:p>
            <w:pPr>
              <w:pStyle w:val="Compact"/>
            </w:pPr>
            <w:r>
              <w:t xml:space="preserve">IT capital expenditure</w:t>
            </w:r>
          </w:p>
        </w:tc>
      </w:tr>
    </w:tbl>
    <w:bookmarkEnd w:id="93"/>
    <w:bookmarkEnd w:id="94"/>
    <w:bookmarkStart w:id="97" w:name="missing-data-strategy"/>
    <w:p>
      <w:pPr>
        <w:pStyle w:val="Heading2"/>
      </w:pPr>
      <w:r>
        <w:t xml:space="preserve">Missing Data Strategy</w:t>
      </w:r>
    </w:p>
    <w:bookmarkStart w:id="95" w:name="boardex-awarddate-imputation"/>
    <w:p>
      <w:pPr>
        <w:pStyle w:val="Heading3"/>
      </w:pPr>
      <w:r>
        <w:t xml:space="preserve">BoardEx AwardDate Imputation</w:t>
      </w:r>
    </w:p>
    <w:p>
      <w:pPr>
        <w:pStyle w:val="FirstParagraph"/>
      </w:pPr>
      <w:r>
        <w:t xml:space="preserve">When AwardDate is missing but QualificationType is available: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Degree</w:t>
            </w:r>
          </w:p>
        </w:tc>
        <w:tc>
          <w:tcPr/>
          <w:p>
            <w:pPr>
              <w:pStyle w:val="Compact"/>
            </w:pPr>
            <w:r>
              <w:t xml:space="preserve">Imputation Rule</w:t>
            </w:r>
          </w:p>
        </w:tc>
      </w:tr>
      <w:tr>
        <w:tc>
          <w:tcPr/>
          <w:p>
            <w:pPr>
              <w:pStyle w:val="Compact"/>
            </w:pPr>
            <w:r>
              <w:t xml:space="preserve">Bachelor’s</w:t>
            </w:r>
          </w:p>
        </w:tc>
        <w:tc>
          <w:tcPr/>
          <w:p>
            <w:pPr>
              <w:pStyle w:val="Compact"/>
            </w:pPr>
            <w:r>
              <w:t xml:space="preserve">Birth Year + 22</w:t>
            </w:r>
          </w:p>
        </w:tc>
      </w:tr>
      <w:tr>
        <w:tc>
          <w:tcPr/>
          <w:p>
            <w:pPr>
              <w:pStyle w:val="Compact"/>
            </w:pPr>
            <w:r>
              <w:t xml:space="preserve">Master’s</w:t>
            </w:r>
          </w:p>
        </w:tc>
        <w:tc>
          <w:tcPr/>
          <w:p>
            <w:pPr>
              <w:pStyle w:val="Compact"/>
            </w:pPr>
            <w:r>
              <w:t xml:space="preserve">Birth Year + 24</w:t>
            </w:r>
          </w:p>
        </w:tc>
      </w:tr>
      <w:tr>
        <w:tc>
          <w:tcPr/>
          <w:p>
            <w:pPr>
              <w:pStyle w:val="Compact"/>
            </w:pPr>
            <w:r>
              <w:t xml:space="preserve">Doctoral</w:t>
            </w:r>
          </w:p>
        </w:tc>
        <w:tc>
          <w:tcPr/>
          <w:p>
            <w:pPr>
              <w:pStyle w:val="Compact"/>
            </w:pPr>
            <w:r>
              <w:t xml:space="preserve">Birth Year + 28</w:t>
            </w:r>
          </w:p>
        </w:tc>
      </w:tr>
    </w:tbl>
    <w:bookmarkEnd w:id="95"/>
    <w:bookmarkStart w:id="96" w:name="validation"/>
    <w:p>
      <w:pPr>
        <w:pStyle w:val="Heading3"/>
      </w:pPr>
      <w:r>
        <w:t xml:space="preserve">Validation</w:t>
      </w:r>
    </w:p>
    <w:p>
      <w:pPr>
        <w:pStyle w:val="Compact"/>
        <w:numPr>
          <w:ilvl w:val="0"/>
          <w:numId w:val="1043"/>
        </w:numPr>
      </w:pPr>
      <w:r>
        <w:t xml:space="preserve">Compare imputed vs. actual dates where both are available</w:t>
      </w:r>
    </w:p>
    <w:p>
      <w:pPr>
        <w:pStyle w:val="Compact"/>
        <w:numPr>
          <w:ilvl w:val="0"/>
          <w:numId w:val="1043"/>
        </w:numPr>
      </w:pPr>
      <w:r>
        <w:t xml:space="preserve">Report imputation rate and sensitivity analysis excluding imputed observations</w:t>
      </w:r>
    </w:p>
    <w:bookmarkEnd w:id="96"/>
    <w:bookmarkEnd w:id="97"/>
    <w:bookmarkStart w:id="98" w:name="data-collection-timeline"/>
    <w:p>
      <w:pPr>
        <w:pStyle w:val="Heading2"/>
      </w:pPr>
      <w:r>
        <w:t xml:space="preserve">Data Collection Timeline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Step</w:t>
            </w:r>
          </w:p>
        </w:tc>
        <w:tc>
          <w:tcPr/>
          <w:p>
            <w:pPr>
              <w:pStyle w:val="Compact"/>
            </w:pPr>
            <w:r>
              <w:t xml:space="preserve">Activity</w:t>
            </w:r>
          </w:p>
        </w:tc>
        <w:tc>
          <w:tcPr/>
          <w:p>
            <w:pPr>
              <w:pStyle w:val="Compact"/>
            </w:pPr>
            <w:r>
              <w:t xml:space="preserve">Duration</w:t>
            </w:r>
          </w:p>
        </w:tc>
      </w:tr>
      <w:tr>
        <w:tc>
          <w:tcPr/>
          <w:p>
            <w:pPr>
              <w:pStyle w:val="Compact"/>
            </w:pPr>
            <w:r>
              <w:t xml:space="preserve">1</w:t>
            </w:r>
          </w:p>
        </w:tc>
        <w:tc>
          <w:tcPr/>
          <w:p>
            <w:pPr>
              <w:pStyle w:val="Compact"/>
            </w:pPr>
            <w:r>
              <w:t xml:space="preserve">Extract BoardEx education data</w:t>
            </w:r>
          </w:p>
        </w:tc>
        <w:tc>
          <w:tcPr/>
          <w:p>
            <w:pPr>
              <w:pStyle w:val="Compact"/>
            </w:pPr>
            <w:r>
              <w:t xml:space="preserve">Week 1-2</w:t>
            </w:r>
          </w:p>
        </w:tc>
      </w:tr>
      <w:tr>
        <w:tc>
          <w:tcPr/>
          <w:p>
            <w:pPr>
              <w:pStyle w:val="Compact"/>
            </w:pPr>
            <w:r>
              <w:t xml:space="preserve">2</w:t>
            </w:r>
          </w:p>
        </w:tc>
        <w:tc>
          <w:tcPr/>
          <w:p>
            <w:pPr>
              <w:pStyle w:val="Compact"/>
            </w:pPr>
            <w:r>
              <w:t xml:space="preserve">Classify STEM vs. non-STEM qualifications</w:t>
            </w:r>
          </w:p>
        </w:tc>
        <w:tc>
          <w:tcPr/>
          <w:p>
            <w:pPr>
              <w:pStyle w:val="Compact"/>
            </w:pPr>
            <w:r>
              <w:t xml:space="preserve">Week 2-3</w:t>
            </w:r>
          </w:p>
        </w:tc>
      </w:tr>
      <w:tr>
        <w:tc>
          <w:tcPr/>
          <w:p>
            <w:pPr>
              <w:pStyle w:val="Compact"/>
            </w:pPr>
            <w:r>
              <w:t xml:space="preserve">3</w:t>
            </w:r>
          </w:p>
        </w:tc>
        <w:tc>
          <w:tcPr/>
          <w:p>
            <w:pPr>
              <w:pStyle w:val="Compact"/>
            </w:pPr>
            <w:r>
              <w:t xml:space="preserve">Download and parse 10-K filings from EDGAR</w:t>
            </w:r>
          </w:p>
        </w:tc>
        <w:tc>
          <w:tcPr/>
          <w:p>
            <w:pPr>
              <w:pStyle w:val="Compact"/>
            </w:pPr>
            <w:r>
              <w:t xml:space="preserve">Week 3-4</w:t>
            </w:r>
          </w:p>
        </w:tc>
      </w:tr>
      <w:tr>
        <w:tc>
          <w:tcPr/>
          <w:p>
            <w:pPr>
              <w:pStyle w:val="Compact"/>
            </w:pPr>
            <w:r>
              <w:t xml:space="preserve">4</w:t>
            </w:r>
          </w:p>
        </w:tc>
        <w:tc>
          <w:tcPr/>
          <w:p>
            <w:pPr>
              <w:pStyle w:val="Compact"/>
            </w:pPr>
            <w:r>
              <w:t xml:space="preserve">Run GenAI keyword extraction</w:t>
            </w:r>
          </w:p>
        </w:tc>
        <w:tc>
          <w:tcPr/>
          <w:p>
            <w:pPr>
              <w:pStyle w:val="Compact"/>
            </w:pPr>
            <w:r>
              <w:t xml:space="preserve">Week 4-5</w:t>
            </w:r>
          </w:p>
        </w:tc>
      </w:tr>
      <w:tr>
        <w:tc>
          <w:tcPr/>
          <w:p>
            <w:pPr>
              <w:pStyle w:val="Compact"/>
            </w:pPr>
            <w:r>
              <w:t xml:space="preserve">5</w:t>
            </w:r>
          </w:p>
        </w:tc>
        <w:tc>
          <w:tcPr/>
          <w:p>
            <w:pPr>
              <w:pStyle w:val="Compact"/>
            </w:pPr>
            <w:r>
              <w:t xml:space="preserve">Merge BoardEx + Compustat + CRSP + EDGAR</w:t>
            </w:r>
          </w:p>
        </w:tc>
        <w:tc>
          <w:tcPr/>
          <w:p>
            <w:pPr>
              <w:pStyle w:val="Compact"/>
            </w:pPr>
            <w:r>
              <w:t xml:space="preserve">Week 5-6</w:t>
            </w:r>
          </w:p>
        </w:tc>
      </w:tr>
      <w:tr>
        <w:tc>
          <w:tcPr/>
          <w:p>
            <w:pPr>
              <w:pStyle w:val="Compact"/>
            </w:pPr>
            <w:r>
              <w:t xml:space="preserve">6</w:t>
            </w:r>
          </w:p>
        </w:tc>
        <w:tc>
          <w:tcPr/>
          <w:p>
            <w:pPr>
              <w:pStyle w:val="Compact"/>
            </w:pPr>
            <w:r>
              <w:t xml:space="preserve">Data cleaning and validation</w:t>
            </w:r>
          </w:p>
        </w:tc>
        <w:tc>
          <w:tcPr/>
          <w:p>
            <w:pPr>
              <w:pStyle w:val="Compact"/>
            </w:pPr>
            <w:r>
              <w:t xml:space="preserve">Week 6</w:t>
            </w:r>
          </w:p>
        </w:tc>
      </w:tr>
    </w:tbl>
    <w:bookmarkEnd w:id="98"/>
    <w:bookmarkEnd w:id="99"/>
    <w:bookmarkStart w:id="106" w:name="data"/>
    <w:p>
      <w:pPr>
        <w:pStyle w:val="Heading1"/>
      </w:pPr>
      <w:r>
        <w:t xml:space="preserve">Data</w:t>
      </w:r>
    </w:p>
    <w:bookmarkStart w:id="100" w:name="sample-description"/>
    <w:p>
      <w:pPr>
        <w:pStyle w:val="Heading2"/>
      </w:pPr>
      <w:r>
        <w:t xml:space="preserve">Sample Description</w:t>
      </w:r>
    </w:p>
    <w:p>
      <w:pPr>
        <w:pStyle w:val="Compact"/>
        <w:numPr>
          <w:ilvl w:val="0"/>
          <w:numId w:val="1044"/>
        </w:numPr>
      </w:pPr>
      <w:r>
        <w:rPr>
          <w:b/>
          <w:bCs/>
        </w:rPr>
        <w:t xml:space="preserve">Population</w:t>
      </w:r>
      <w:r>
        <w:t xml:space="preserve">: U.S. publicly listed firms in the BoardEx universe</w:t>
      </w:r>
    </w:p>
    <w:p>
      <w:pPr>
        <w:pStyle w:val="Compact"/>
        <w:numPr>
          <w:ilvl w:val="0"/>
          <w:numId w:val="1044"/>
        </w:numPr>
      </w:pPr>
      <w:r>
        <w:rPr>
          <w:b/>
          <w:bCs/>
        </w:rPr>
        <w:t xml:space="preserve">Time period</w:t>
      </w:r>
      <w:r>
        <w:t xml:space="preserve">: 2019 Q1 – 2025 Q4 (28 quarters)</w:t>
      </w:r>
    </w:p>
    <w:p>
      <w:pPr>
        <w:pStyle w:val="Compact"/>
        <w:numPr>
          <w:ilvl w:val="0"/>
          <w:numId w:val="1044"/>
        </w:numPr>
      </w:pPr>
      <w:r>
        <w:rPr>
          <w:b/>
          <w:bCs/>
        </w:rPr>
        <w:t xml:space="preserve">Treatment event</w:t>
      </w:r>
      <w:r>
        <w:t xml:space="preserve">: ChatGPT release, November 30, 2022 (2022 Q4)</w:t>
      </w:r>
    </w:p>
    <w:p>
      <w:pPr>
        <w:pStyle w:val="Compact"/>
        <w:numPr>
          <w:ilvl w:val="0"/>
          <w:numId w:val="1044"/>
        </w:numPr>
      </w:pPr>
      <w:r>
        <w:rPr>
          <w:b/>
          <w:bCs/>
        </w:rPr>
        <w:t xml:space="preserve">Expected sample size</w:t>
      </w:r>
      <w:r>
        <w:t xml:space="preserve">: ~3,000-5,000 firms, ~50,000+ firm-quarter observations</w:t>
      </w:r>
    </w:p>
    <w:bookmarkEnd w:id="100"/>
    <w:bookmarkStart w:id="101" w:name="inclusion-criteria"/>
    <w:p>
      <w:pPr>
        <w:pStyle w:val="Heading2"/>
      </w:pPr>
      <w:r>
        <w:t xml:space="preserve">Inclusion Criteria</w:t>
      </w:r>
    </w:p>
    <w:p>
      <w:pPr>
        <w:pStyle w:val="Compact"/>
        <w:numPr>
          <w:ilvl w:val="0"/>
          <w:numId w:val="1045"/>
        </w:numPr>
      </w:pPr>
      <w:r>
        <w:t xml:space="preserve">Listed on NYSE, NASDAQ, or AMEX</w:t>
      </w:r>
    </w:p>
    <w:p>
      <w:pPr>
        <w:pStyle w:val="Compact"/>
        <w:numPr>
          <w:ilvl w:val="0"/>
          <w:numId w:val="1045"/>
        </w:numPr>
      </w:pPr>
      <w:r>
        <w:t xml:space="preserve">At least one director with a STEM-classified degree in BoardEx</w:t>
      </w:r>
    </w:p>
    <w:p>
      <w:pPr>
        <w:pStyle w:val="Compact"/>
        <w:numPr>
          <w:ilvl w:val="0"/>
          <w:numId w:val="1045"/>
        </w:numPr>
      </w:pPr>
      <w:r>
        <w:t xml:space="preserve">Financial data available in Compustat for the study period</w:t>
      </w:r>
    </w:p>
    <w:p>
      <w:pPr>
        <w:pStyle w:val="Compact"/>
        <w:numPr>
          <w:ilvl w:val="0"/>
          <w:numId w:val="1045"/>
        </w:numPr>
      </w:pPr>
      <w:r>
        <w:t xml:space="preserve">At least one 10-K filing available in SEC EDGAR post-2022</w:t>
      </w:r>
    </w:p>
    <w:bookmarkEnd w:id="101"/>
    <w:bookmarkStart w:id="102" w:name="exclusion-criteria"/>
    <w:p>
      <w:pPr>
        <w:pStyle w:val="Heading2"/>
      </w:pPr>
      <w:r>
        <w:t xml:space="preserve">Exclusion Criteria</w:t>
      </w:r>
    </w:p>
    <w:p>
      <w:pPr>
        <w:pStyle w:val="Compact"/>
        <w:numPr>
          <w:ilvl w:val="0"/>
          <w:numId w:val="1046"/>
        </w:numPr>
      </w:pPr>
      <w:r>
        <w:t xml:space="preserve">Financial firms (SIC 6000-6999) – different regulatory environment</w:t>
      </w:r>
    </w:p>
    <w:p>
      <w:pPr>
        <w:pStyle w:val="Compact"/>
        <w:numPr>
          <w:ilvl w:val="0"/>
          <w:numId w:val="1046"/>
        </w:numPr>
      </w:pPr>
      <w:r>
        <w:t xml:space="preserve">Utility firms (SIC 4900-4999) – regulated industry dynamics</w:t>
      </w:r>
    </w:p>
    <w:p>
      <w:pPr>
        <w:pStyle w:val="Compact"/>
        <w:numPr>
          <w:ilvl w:val="0"/>
          <w:numId w:val="1046"/>
        </w:numPr>
      </w:pPr>
      <w:r>
        <w:t xml:space="preserve">Firms with fewer than 3 board members in BoardEx</w:t>
      </w:r>
    </w:p>
    <w:p>
      <w:pPr>
        <w:pStyle w:val="Compact"/>
        <w:numPr>
          <w:ilvl w:val="0"/>
          <w:numId w:val="1046"/>
        </w:numPr>
      </w:pPr>
      <w:r>
        <w:t xml:space="preserve">Firms with missing key financial variables (total assets, revenue)</w:t>
      </w:r>
    </w:p>
    <w:bookmarkEnd w:id="102"/>
    <w:bookmarkStart w:id="103" w:name="stem-classification"/>
    <w:p>
      <w:pPr>
        <w:pStyle w:val="Heading2"/>
      </w:pPr>
      <w:r>
        <w:t xml:space="preserve">STEM Classification</w:t>
      </w:r>
    </w:p>
    <w:p>
      <w:pPr>
        <w:pStyle w:val="FirstParagraph"/>
      </w:pPr>
      <w:r>
        <w:t xml:space="preserve">Degrees classified as STEM based on BoardEx Subject field:</w:t>
      </w:r>
    </w:p>
    <w:tbl>
      <w:tblPr>
        <w:tblStyle w:val="Table"/>
        <w:tblW w:type="pct" w:w="5000"/>
        <w:tblLayout w:type="fixed"/>
        <w:tblLook w:firstRow="1" w:lastRow="0" w:firstColumn="0" w:lastColumn="0" w:noHBand="0" w:noVBand="0" w:val="0020"/>
      </w:tblPr>
      <w:tblGrid>
        <w:gridCol w:w="2970"/>
        <w:gridCol w:w="4950"/>
      </w:tblGrid>
      <w:tr>
        <w:trPr>
          <w:tblHeader w:val="on"/>
        </w:trPr>
        <w:tc>
          <w:tcPr/>
          <w:p>
            <w:pPr>
              <w:pStyle w:val="Compact"/>
            </w:pPr>
            <w:r>
              <w:t xml:space="preserve">STEM</w:t>
            </w:r>
          </w:p>
        </w:tc>
        <w:tc>
          <w:tcPr/>
          <w:p>
            <w:pPr>
              <w:pStyle w:val="Compact"/>
            </w:pPr>
            <w:r>
              <w:t xml:space="preserve">Non-STEM</w:t>
            </w:r>
          </w:p>
        </w:tc>
      </w:tr>
      <w:tr>
        <w:tc>
          <w:tcPr/>
          <w:p>
            <w:pPr>
              <w:pStyle w:val="Compact"/>
            </w:pPr>
            <w:r>
              <w:t xml:space="preserve">Computer Science, Engineering, Mathematics, Physics, Statistics, Information Technology, Data Science, Artificial Intelligence, Electrical Engineering, Mechanical Engineering, Chemical Engineering, Bioinformatics</w:t>
            </w:r>
          </w:p>
        </w:tc>
        <w:tc>
          <w:tcPr/>
          <w:p>
            <w:pPr>
              <w:pStyle w:val="Compact"/>
            </w:pPr>
            <w:r>
              <w:t xml:space="preserve">Law, Finance, Accounting, MBA (general), Economics, Political Science, History, English, Philosophy, Marketing</w:t>
            </w:r>
          </w:p>
        </w:tc>
      </w:tr>
    </w:tbl>
    <w:bookmarkEnd w:id="103"/>
    <w:bookmarkStart w:id="104" w:name="key-data-fields-from-boardex"/>
    <w:p>
      <w:pPr>
        <w:pStyle w:val="Heading2"/>
      </w:pPr>
      <w:r>
        <w:t xml:space="preserve">Key Data Fields from BoardEx</w:t>
      </w:r>
    </w:p>
    <w:tbl>
      <w:tblPr>
        <w:tblStyle w:val="Table"/>
        <w:tblW w:type="pct" w:w="5000"/>
        <w:tblLayout w:type="fixed"/>
        <w:tblLook w:firstRow="1" w:lastRow="0" w:firstColumn="0" w:lastColumn="0" w:noHBand="0" w:noVBand="0" w:val="0020"/>
      </w:tblPr>
      <w:tblGrid>
        <w:gridCol w:w="2217"/>
        <w:gridCol w:w="4118"/>
        <w:gridCol w:w="1584"/>
      </w:tblGrid>
      <w:tr>
        <w:trPr>
          <w:tblHeader w:val="on"/>
        </w:trPr>
        <w:tc>
          <w:tcPr/>
          <w:p>
            <w:pPr>
              <w:pStyle w:val="Compact"/>
            </w:pPr>
            <w:r>
              <w:t xml:space="preserve">Field</w:t>
            </w:r>
          </w:p>
        </w:tc>
        <w:tc>
          <w:tcPr/>
          <w:p>
            <w:pPr>
              <w:pStyle w:val="Compact"/>
            </w:pPr>
            <w:r>
              <w:t xml:space="preserve">Description</w:t>
            </w:r>
          </w:p>
        </w:tc>
        <w:tc>
          <w:tcPr/>
          <w:p>
            <w:pPr>
              <w:pStyle w:val="Compact"/>
            </w:pPr>
            <w:r>
              <w:t xml:space="preserve">Use</w:t>
            </w:r>
          </w:p>
        </w:tc>
      </w:tr>
      <w:tr>
        <w:tc>
          <w:tcPr/>
          <w:p>
            <w:pPr>
              <w:pStyle w:val="Compact"/>
            </w:pPr>
            <w:r>
              <w:rPr>
                <w:rStyle w:val="VerbatimChar"/>
              </w:rPr>
              <w:t xml:space="preserve">DirectorID</w:t>
            </w:r>
          </w:p>
        </w:tc>
        <w:tc>
          <w:tcPr/>
          <w:p>
            <w:pPr>
              <w:pStyle w:val="Compact"/>
            </w:pPr>
            <w:r>
              <w:t xml:space="preserve">Unique director identifier</w:t>
            </w:r>
          </w:p>
        </w:tc>
        <w:tc>
          <w:tcPr/>
          <w:p>
            <w:pPr>
              <w:pStyle w:val="Compact"/>
            </w:pPr>
            <w:r>
              <w:t xml:space="preserve">Linking</w:t>
            </w:r>
          </w:p>
        </w:tc>
      </w:tr>
      <w:tr>
        <w:tc>
          <w:tcPr/>
          <w:p>
            <w:pPr>
              <w:pStyle w:val="Compact"/>
            </w:pPr>
            <w:r>
              <w:rPr>
                <w:rStyle w:val="VerbatimChar"/>
              </w:rPr>
              <w:t xml:space="preserve">CompanyID</w:t>
            </w:r>
          </w:p>
        </w:tc>
        <w:tc>
          <w:tcPr/>
          <w:p>
            <w:pPr>
              <w:pStyle w:val="Compact"/>
            </w:pPr>
            <w:r>
              <w:t xml:space="preserve">Unique company identifier</w:t>
            </w:r>
          </w:p>
        </w:tc>
        <w:tc>
          <w:tcPr/>
          <w:p>
            <w:pPr>
              <w:pStyle w:val="Compact"/>
            </w:pPr>
            <w:r>
              <w:t xml:space="preserve">Linking</w:t>
            </w:r>
          </w:p>
        </w:tc>
      </w:tr>
      <w:tr>
        <w:tc>
          <w:tcPr/>
          <w:p>
            <w:pPr>
              <w:pStyle w:val="Compact"/>
            </w:pPr>
            <w:r>
              <w:rPr>
                <w:rStyle w:val="VerbatimChar"/>
              </w:rPr>
              <w:t xml:space="preserve">Qualification</w:t>
            </w:r>
          </w:p>
        </w:tc>
        <w:tc>
          <w:tcPr/>
          <w:p>
            <w:pPr>
              <w:pStyle w:val="Compact"/>
            </w:pPr>
            <w:r>
              <w:t xml:space="preserve">Degree name (BS, MS, PhD, etc.)</w:t>
            </w:r>
          </w:p>
        </w:tc>
        <w:tc>
          <w:tcPr/>
          <w:p>
            <w:pPr>
              <w:pStyle w:val="Compact"/>
            </w:pPr>
            <w:r>
              <w:t xml:space="preserve">STEM classification</w:t>
            </w:r>
          </w:p>
        </w:tc>
      </w:tr>
      <w:tr>
        <w:tc>
          <w:tcPr/>
          <w:p>
            <w:pPr>
              <w:pStyle w:val="Compact"/>
            </w:pPr>
            <w:r>
              <w:rPr>
                <w:rStyle w:val="VerbatimChar"/>
              </w:rPr>
              <w:t xml:space="preserve">QualSubject</w:t>
            </w:r>
          </w:p>
        </w:tc>
        <w:tc>
          <w:tcPr/>
          <w:p>
            <w:pPr>
              <w:pStyle w:val="Compact"/>
            </w:pPr>
            <w:r>
              <w:t xml:space="preserve">Field of study</w:t>
            </w:r>
          </w:p>
        </w:tc>
        <w:tc>
          <w:tcPr/>
          <w:p>
            <w:pPr>
              <w:pStyle w:val="Compact"/>
            </w:pPr>
            <w:r>
              <w:t xml:space="preserve">STEM classification</w:t>
            </w:r>
          </w:p>
        </w:tc>
      </w:tr>
      <w:tr>
        <w:tc>
          <w:tcPr/>
          <w:p>
            <w:pPr>
              <w:pStyle w:val="Compact"/>
            </w:pPr>
            <w:r>
              <w:rPr>
                <w:rStyle w:val="VerbatimChar"/>
              </w:rPr>
              <w:t xml:space="preserve">AwardDate</w:t>
            </w:r>
          </w:p>
        </w:tc>
        <w:tc>
          <w:tcPr/>
          <w:p>
            <w:pPr>
              <w:pStyle w:val="Compact"/>
            </w:pPr>
            <w:r>
              <w:t xml:space="preserve">Degree conferral date</w:t>
            </w:r>
          </w:p>
        </w:tc>
        <w:tc>
          <w:tcPr/>
          <w:p>
            <w:pPr>
              <w:pStyle w:val="Compact"/>
            </w:pPr>
            <w:r>
              <w:t xml:space="preserve">Vintage calculation</w:t>
            </w:r>
          </w:p>
        </w:tc>
      </w:tr>
      <w:tr>
        <w:tc>
          <w:tcPr/>
          <w:p>
            <w:pPr>
              <w:pStyle w:val="Compact"/>
            </w:pPr>
            <w:r>
              <w:rPr>
                <w:rStyle w:val="VerbatimChar"/>
              </w:rPr>
              <w:t xml:space="preserve">DOB</w:t>
            </w:r>
          </w:p>
        </w:tc>
        <w:tc>
          <w:tcPr/>
          <w:p>
            <w:pPr>
              <w:pStyle w:val="Compact"/>
            </w:pPr>
            <w:r>
              <w:t xml:space="preserve">Date of birth</w:t>
            </w:r>
          </w:p>
        </w:tc>
        <w:tc>
          <w:tcPr/>
          <w:p>
            <w:pPr>
              <w:pStyle w:val="Compact"/>
            </w:pPr>
            <w:r>
              <w:t xml:space="preserve">Imputation, age controls</w:t>
            </w:r>
          </w:p>
        </w:tc>
      </w:tr>
      <w:tr>
        <w:tc>
          <w:tcPr/>
          <w:p>
            <w:pPr>
              <w:pStyle w:val="Compact"/>
            </w:pPr>
            <w:r>
              <w:rPr>
                <w:rStyle w:val="VerbatimChar"/>
              </w:rPr>
              <w:t xml:space="preserve">CommitteeName</w:t>
            </w:r>
          </w:p>
        </w:tc>
        <w:tc>
          <w:tcPr/>
          <w:p>
            <w:pPr>
              <w:pStyle w:val="Compact"/>
            </w:pPr>
            <w:r>
              <w:t xml:space="preserve">Board committee assignments</w:t>
            </w:r>
          </w:p>
        </w:tc>
        <w:tc>
          <w:tcPr/>
          <w:p>
            <w:pPr>
              <w:pStyle w:val="Compact"/>
            </w:pPr>
            <w:r>
              <w:t xml:space="preserve">Tech Committee identification</w:t>
            </w:r>
          </w:p>
        </w:tc>
      </w:tr>
      <w:tr>
        <w:tc>
          <w:tcPr/>
          <w:p>
            <w:pPr>
              <w:pStyle w:val="Compact"/>
            </w:pPr>
            <w:r>
              <w:rPr>
                <w:rStyle w:val="VerbatimChar"/>
              </w:rPr>
              <w:t xml:space="preserve">RoleStartDate</w:t>
            </w:r>
          </w:p>
        </w:tc>
        <w:tc>
          <w:tcPr/>
          <w:p>
            <w:pPr>
              <w:pStyle w:val="Compact"/>
            </w:pPr>
            <w:r>
              <w:t xml:space="preserve">Director appointment date</w:t>
            </w:r>
          </w:p>
        </w:tc>
        <w:tc>
          <w:tcPr/>
          <w:p>
            <w:pPr>
              <w:pStyle w:val="Compact"/>
            </w:pPr>
            <w:r>
              <w:t xml:space="preserve">Tenure calculation</w:t>
            </w:r>
          </w:p>
        </w:tc>
      </w:tr>
    </w:tbl>
    <w:bookmarkEnd w:id="104"/>
    <w:bookmarkStart w:id="105" w:name="descriptive-statistics-expected"/>
    <w:p>
      <w:pPr>
        <w:pStyle w:val="Heading2"/>
      </w:pPr>
      <w:r>
        <w:t xml:space="preserve">Descriptive Statistics (Expected)</w:t>
      </w:r>
    </w:p>
    <w:p>
      <w:pPr>
        <w:pStyle w:val="FirstParagraph"/>
      </w:pPr>
      <w:r>
        <w:rPr>
          <w:i/>
          <w:iCs/>
        </w:rPr>
        <w:t xml:space="preserve">To be populated after data collection</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Variable</w:t>
            </w:r>
          </w:p>
        </w:tc>
        <w:tc>
          <w:tcPr/>
          <w:p>
            <w:pPr>
              <w:pStyle w:val="Compact"/>
            </w:pPr>
            <w:r>
              <w:t xml:space="preserve">N</w:t>
            </w:r>
          </w:p>
        </w:tc>
        <w:tc>
          <w:tcPr/>
          <w:p>
            <w:pPr>
              <w:pStyle w:val="Compact"/>
            </w:pPr>
            <w:r>
              <w:t xml:space="preserve">Mean</w:t>
            </w:r>
          </w:p>
        </w:tc>
        <w:tc>
          <w:tcPr/>
          <w:p>
            <w:pPr>
              <w:pStyle w:val="Compact"/>
            </w:pPr>
            <w:r>
              <w:t xml:space="preserve">SD</w:t>
            </w:r>
          </w:p>
        </w:tc>
        <w:tc>
          <w:tcPr/>
          <w:p>
            <w:pPr>
              <w:pStyle w:val="Compact"/>
            </w:pPr>
            <w:r>
              <w:t xml:space="preserve">Min</w:t>
            </w:r>
          </w:p>
        </w:tc>
        <w:tc>
          <w:tcPr/>
          <w:p>
            <w:pPr>
              <w:pStyle w:val="Compact"/>
            </w:pPr>
            <w:r>
              <w:t xml:space="preserve">Max</w:t>
            </w:r>
          </w:p>
        </w:tc>
      </w:tr>
      <w:tr>
        <w:tc>
          <w:tcPr/>
          <w:p>
            <w:pPr>
              <w:pStyle w:val="Compact"/>
            </w:pPr>
            <w:r>
              <w:t xml:space="preserve">TKL (years)</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GenAI Adoption Score</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AI Adoption Speed (quarters)</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Vintage Faultline (variance)</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Reskilling Index</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Board Size</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Firm Size (log assets)</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R&amp;D Intensity</w:t>
            </w:r>
          </w:p>
        </w:tc>
        <w:tc>
          <w:tcPr/>
          <w:p>
            <w:pPr>
              <w:pStyle w:val="Compact"/>
            </w:pPr>
          </w:p>
        </w:tc>
        <w:tc>
          <w:tcPr/>
          <w:p>
            <w:pPr>
              <w:pStyle w:val="Compact"/>
            </w:pPr>
          </w:p>
        </w:tc>
        <w:tc>
          <w:tcPr/>
          <w:p>
            <w:pPr>
              <w:pStyle w:val="Compact"/>
            </w:pPr>
          </w:p>
        </w:tc>
        <w:tc>
          <w:tcPr/>
          <w:p>
            <w:pPr>
              <w:pStyle w:val="Compact"/>
            </w:pPr>
          </w:p>
        </w:tc>
        <w:tc>
          <w:tcPr/>
          <w:p>
            <w:pPr>
              <w:pStyle w:val="Compact"/>
            </w:pPr>
          </w:p>
        </w:tc>
      </w:tr>
    </w:tbl>
    <w:bookmarkEnd w:id="105"/>
    <w:bookmarkEnd w:id="106"/>
    <w:bookmarkStart w:id="107" w:name="searching-and-inclusion-exclusion"/>
    <w:p>
      <w:pPr>
        <w:pStyle w:val="Heading1"/>
      </w:pPr>
      <w:r>
        <w:t xml:space="preserve">Searching and Inclusion &amp; Exclusion</w:t>
      </w:r>
    </w:p>
    <w:bookmarkEnd w:id="107"/>
    <w:bookmarkStart w:id="110" w:name="round-1"/>
    <w:p>
      <w:pPr>
        <w:pStyle w:val="Heading1"/>
      </w:pPr>
      <w:r>
        <w:t xml:space="preserve">Round 1</w:t>
      </w:r>
    </w:p>
    <w:bookmarkStart w:id="108" w:name="search-keywords-and-category"/>
    <w:p>
      <w:pPr>
        <w:pStyle w:val="Heading2"/>
      </w:pPr>
      <w:r>
        <w:t xml:space="preserve">Search keywords and category</w:t>
      </w:r>
    </w:p>
    <w:p>
      <w:pPr>
        <w:pStyle w:val="FirstParagraph"/>
      </w:pPr>
      <w:r>
        <w:rPr>
          <w:b/>
          <w:bCs/>
        </w:rPr>
        <w:t xml:space="preserve">Category</w:t>
      </w:r>
      <w:r>
        <w:t xml:space="preserve">: Board Composition and AI/Digital Transformation</w:t>
      </w:r>
    </w:p>
    <w:p>
      <w:pPr>
        <w:pStyle w:val="BodyText"/>
      </w:pPr>
      <w:r>
        <w:rPr>
          <w:b/>
          <w:bCs/>
        </w:rPr>
        <w:t xml:space="preserve">Keywords</w:t>
      </w:r>
      <w:r>
        <w:t xml:space="preserve">:</w:t>
      </w:r>
      <w:r>
        <w:t xml:space="preserve"> </w:t>
      </w:r>
      <w:r>
        <w:t xml:space="preserve">- Board:</w:t>
      </w:r>
      <w:r>
        <w:t xml:space="preserve"> </w:t>
      </w:r>
      <w:r>
        <w:t xml:space="preserve">“board of directors,”</w:t>
      </w:r>
      <w:r>
        <w:t xml:space="preserve"> </w:t>
      </w:r>
      <w:r>
        <w:t xml:space="preserve">“corporate governance,”</w:t>
      </w:r>
      <w:r>
        <w:t xml:space="preserve"> </w:t>
      </w:r>
      <w:r>
        <w:t xml:space="preserve">“board composition,”</w:t>
      </w:r>
      <w:r>
        <w:t xml:space="preserve"> </w:t>
      </w:r>
      <w:r>
        <w:t xml:space="preserve">“board expertise”</w:t>
      </w:r>
      <w:r>
        <w:t xml:space="preserve"> </w:t>
      </w:r>
      <w:r>
        <w:t xml:space="preserve">- AI:</w:t>
      </w:r>
      <w:r>
        <w:t xml:space="preserve"> </w:t>
      </w:r>
      <w:r>
        <w:t xml:space="preserve">“AI adoption,”</w:t>
      </w:r>
      <w:r>
        <w:t xml:space="preserve"> </w:t>
      </w:r>
      <w:r>
        <w:t xml:space="preserve">“artificial intelligence adoption,”</w:t>
      </w:r>
      <w:r>
        <w:t xml:space="preserve"> </w:t>
      </w:r>
      <w:r>
        <w:t xml:space="preserve">“digital transformation,”</w:t>
      </w:r>
      <w:r>
        <w:t xml:space="preserve"> </w:t>
      </w:r>
      <w:r>
        <w:t xml:space="preserve">“generative AI,”</w:t>
      </w:r>
      <w:r>
        <w:t xml:space="preserve"> </w:t>
      </w:r>
      <w:r>
        <w:t xml:space="preserve">“GenAI,”</w:t>
      </w:r>
      <w:r>
        <w:t xml:space="preserve"> </w:t>
      </w:r>
      <w:r>
        <w:t xml:space="preserve">“ChatGPT”</w:t>
      </w:r>
    </w:p>
    <w:bookmarkEnd w:id="108"/>
    <w:bookmarkStart w:id="109" w:name="keywords-combination"/>
    <w:p>
      <w:pPr>
        <w:pStyle w:val="Heading2"/>
      </w:pPr>
      <w:r>
        <w:t xml:space="preserve">Keywords combination</w:t>
      </w:r>
    </w:p>
    <w:p>
      <w:pPr>
        <w:pStyle w:val="SourceCode"/>
      </w:pPr>
      <w:r>
        <w:rPr>
          <w:rStyle w:val="VerbatimChar"/>
        </w:rPr>
        <w:t xml:space="preserve">("board of directors" OR "corporate governance" OR "board composition")</w:t>
      </w:r>
      <w:r>
        <w:br/>
      </w:r>
      <w:r>
        <w:rPr>
          <w:rStyle w:val="VerbatimChar"/>
        </w:rPr>
        <w:t xml:space="preserve">AND</w:t>
      </w:r>
      <w:r>
        <w:br/>
      </w:r>
      <w:r>
        <w:rPr>
          <w:rStyle w:val="VerbatimChar"/>
        </w:rPr>
        <w:t xml:space="preserve">("AI adoption" OR "digital transformation" OR "generative AI" OR "ChatGPT")</w:t>
      </w:r>
    </w:p>
    <w:p>
      <w:pPr>
        <w:pStyle w:val="FirstParagraph"/>
      </w:pPr>
      <w:r>
        <w:rPr>
          <w:b/>
          <w:bCs/>
        </w:rPr>
        <w:t xml:space="preserve">Databases</w:t>
      </w:r>
      <w:r>
        <w:t xml:space="preserve">: Web of Science, Scopus, SSRN</w:t>
      </w:r>
      <w:r>
        <w:t xml:space="preserve"> </w:t>
      </w:r>
      <w:r>
        <w:rPr>
          <w:b/>
          <w:bCs/>
        </w:rPr>
        <w:t xml:space="preserve">Expected results</w:t>
      </w:r>
      <w:r>
        <w:t xml:space="preserve">: 200-400 articles</w:t>
      </w:r>
      <w:r>
        <w:t xml:space="preserve"> </w:t>
      </w:r>
      <w:r>
        <w:rPr>
          <w:b/>
          <w:bCs/>
        </w:rPr>
        <w:t xml:space="preserve">Inclusion</w:t>
      </w:r>
      <w:r>
        <w:t xml:space="preserve">: Empirical studies on board-level factors affecting technology/AI adoption</w:t>
      </w:r>
      <w:r>
        <w:t xml:space="preserve"> </w:t>
      </w:r>
      <w:r>
        <w:rPr>
          <w:b/>
          <w:bCs/>
        </w:rPr>
        <w:t xml:space="preserve">Exclusion</w:t>
      </w:r>
      <w:r>
        <w:t xml:space="preserve">: Non-board-level analysis, purely technical AI papers, conference proceedings without peer review</w:t>
      </w:r>
    </w:p>
    <w:bookmarkEnd w:id="109"/>
    <w:bookmarkEnd w:id="110"/>
    <w:bookmarkStart w:id="113" w:name="round-2"/>
    <w:p>
      <w:pPr>
        <w:pStyle w:val="Heading1"/>
      </w:pPr>
      <w:r>
        <w:t xml:space="preserve">Round 2</w:t>
      </w:r>
    </w:p>
    <w:bookmarkStart w:id="111" w:name="search-keywords-and-category-1"/>
    <w:p>
      <w:pPr>
        <w:pStyle w:val="Heading2"/>
      </w:pPr>
      <w:r>
        <w:t xml:space="preserve">Search keywords and category</w:t>
      </w:r>
    </w:p>
    <w:p>
      <w:pPr>
        <w:pStyle w:val="FirstParagraph"/>
      </w:pPr>
      <w:r>
        <w:rPr>
          <w:b/>
          <w:bCs/>
        </w:rPr>
        <w:t xml:space="preserve">Category</w:t>
      </w:r>
      <w:r>
        <w:t xml:space="preserve">: Knowledge Obsolescence and Human Capital Depreciation</w:t>
      </w:r>
    </w:p>
    <w:p>
      <w:pPr>
        <w:pStyle w:val="BodyText"/>
      </w:pPr>
      <w:r>
        <w:rPr>
          <w:b/>
          <w:bCs/>
        </w:rPr>
        <w:t xml:space="preserve">Keywords</w:t>
      </w:r>
      <w:r>
        <w:t xml:space="preserve">:</w:t>
      </w:r>
      <w:r>
        <w:t xml:space="preserve"> </w:t>
      </w:r>
      <w:r>
        <w:t xml:space="preserve">- Knowledge:</w:t>
      </w:r>
      <w:r>
        <w:t xml:space="preserve"> </w:t>
      </w:r>
      <w:r>
        <w:t xml:space="preserve">“knowledge obsolescence,”</w:t>
      </w:r>
      <w:r>
        <w:t xml:space="preserve"> </w:t>
      </w:r>
      <w:r>
        <w:t xml:space="preserve">“human capital depreciation,”</w:t>
      </w:r>
      <w:r>
        <w:t xml:space="preserve"> </w:t>
      </w:r>
      <w:r>
        <w:t xml:space="preserve">“knowledge depreciation,”</w:t>
      </w:r>
      <w:r>
        <w:t xml:space="preserve"> </w:t>
      </w:r>
      <w:r>
        <w:t xml:space="preserve">“education vintage,”</w:t>
      </w:r>
      <w:r>
        <w:t xml:space="preserve"> </w:t>
      </w:r>
      <w:r>
        <w:t xml:space="preserve">“skill obsolescence”</w:t>
      </w:r>
      <w:r>
        <w:t xml:space="preserve"> </w:t>
      </w:r>
      <w:r>
        <w:t xml:space="preserve">- Domain:</w:t>
      </w:r>
      <w:r>
        <w:t xml:space="preserve"> </w:t>
      </w:r>
      <w:r>
        <w:t xml:space="preserve">“technology,”</w:t>
      </w:r>
      <w:r>
        <w:t xml:space="preserve"> </w:t>
      </w:r>
      <w:r>
        <w:t xml:space="preserve">“STEM,”</w:t>
      </w:r>
      <w:r>
        <w:t xml:space="preserve"> </w:t>
      </w:r>
      <w:r>
        <w:t xml:space="preserve">“engineering,”</w:t>
      </w:r>
      <w:r>
        <w:t xml:space="preserve"> </w:t>
      </w:r>
      <w:r>
        <w:t xml:space="preserve">“technical expertise,”</w:t>
      </w:r>
      <w:r>
        <w:t xml:space="preserve"> </w:t>
      </w:r>
      <w:r>
        <w:t xml:space="preserve">“high-tech”</w:t>
      </w:r>
    </w:p>
    <w:bookmarkEnd w:id="111"/>
    <w:bookmarkStart w:id="112" w:name="keywords-combination-1"/>
    <w:p>
      <w:pPr>
        <w:pStyle w:val="Heading2"/>
      </w:pPr>
      <w:r>
        <w:t xml:space="preserve">Keywords combination</w:t>
      </w:r>
    </w:p>
    <w:p>
      <w:pPr>
        <w:pStyle w:val="SourceCode"/>
      </w:pPr>
      <w:r>
        <w:rPr>
          <w:rStyle w:val="VerbatimChar"/>
        </w:rPr>
        <w:t xml:space="preserve">("knowledge obsolescence" OR "human capital depreciation" OR "education vintage"</w:t>
      </w:r>
      <w:r>
        <w:br/>
      </w:r>
      <w:r>
        <w:rPr>
          <w:rStyle w:val="VerbatimChar"/>
        </w:rPr>
        <w:t xml:space="preserve"> OR "skill obsolescence" OR "knowledge decay")</w:t>
      </w:r>
      <w:r>
        <w:br/>
      </w:r>
      <w:r>
        <w:rPr>
          <w:rStyle w:val="VerbatimChar"/>
        </w:rPr>
        <w:t xml:space="preserve">AND</w:t>
      </w:r>
      <w:r>
        <w:br/>
      </w:r>
      <w:r>
        <w:rPr>
          <w:rStyle w:val="VerbatimChar"/>
        </w:rPr>
        <w:t xml:space="preserve">("technology" OR "STEM" OR "engineering" OR "technical" OR "high-tech")</w:t>
      </w:r>
    </w:p>
    <w:p>
      <w:pPr>
        <w:pStyle w:val="FirstParagraph"/>
      </w:pPr>
      <w:r>
        <w:rPr>
          <w:b/>
          <w:bCs/>
        </w:rPr>
        <w:t xml:space="preserve">Databases</w:t>
      </w:r>
      <w:r>
        <w:t xml:space="preserve">: Web of Science, Scopus, NBER Working Papers</w:t>
      </w:r>
      <w:r>
        <w:t xml:space="preserve"> </w:t>
      </w:r>
      <w:r>
        <w:rPr>
          <w:b/>
          <w:bCs/>
        </w:rPr>
        <w:t xml:space="preserve">Expected results</w:t>
      </w:r>
      <w:r>
        <w:t xml:space="preserve">: 100-200 articles</w:t>
      </w:r>
      <w:r>
        <w:t xml:space="preserve"> </w:t>
      </w:r>
      <w:r>
        <w:rPr>
          <w:b/>
          <w:bCs/>
        </w:rPr>
        <w:t xml:space="preserve">Inclusion</w:t>
      </w:r>
      <w:r>
        <w:t xml:space="preserve">: Studies measuring temporal dimension of knowledge/skill value</w:t>
      </w:r>
      <w:r>
        <w:t xml:space="preserve"> </w:t>
      </w:r>
      <w:r>
        <w:rPr>
          <w:b/>
          <w:bCs/>
        </w:rPr>
        <w:t xml:space="preserve">Exclusion</w:t>
      </w:r>
      <w:r>
        <w:t xml:space="preserve">: General education returns without temporal analysis, non-technical domains</w:t>
      </w:r>
    </w:p>
    <w:bookmarkEnd w:id="112"/>
    <w:bookmarkEnd w:id="113"/>
    <w:bookmarkStart w:id="116" w:name="round-3"/>
    <w:p>
      <w:pPr>
        <w:pStyle w:val="Heading1"/>
      </w:pPr>
      <w:r>
        <w:t xml:space="preserve">Round 3</w:t>
      </w:r>
    </w:p>
    <w:bookmarkStart w:id="114" w:name="search-keywords-and-category-2"/>
    <w:p>
      <w:pPr>
        <w:pStyle w:val="Heading2"/>
      </w:pPr>
      <w:r>
        <w:t xml:space="preserve">Search keywords and category</w:t>
      </w:r>
    </w:p>
    <w:p>
      <w:pPr>
        <w:pStyle w:val="FirstParagraph"/>
      </w:pPr>
      <w:r>
        <w:rPr>
          <w:b/>
          <w:bCs/>
        </w:rPr>
        <w:t xml:space="preserve">Category</w:t>
      </w:r>
      <w:r>
        <w:t xml:space="preserve">: Board Technical Expertise and Innovation</w:t>
      </w:r>
    </w:p>
    <w:p>
      <w:pPr>
        <w:pStyle w:val="BodyText"/>
      </w:pPr>
      <w:r>
        <w:rPr>
          <w:b/>
          <w:bCs/>
        </w:rPr>
        <w:t xml:space="preserve">Keywords</w:t>
      </w:r>
      <w:r>
        <w:t xml:space="preserve">:</w:t>
      </w:r>
      <w:r>
        <w:t xml:space="preserve"> </w:t>
      </w:r>
      <w:r>
        <w:t xml:space="preserve">- Board:</w:t>
      </w:r>
      <w:r>
        <w:t xml:space="preserve"> </w:t>
      </w:r>
      <w:r>
        <w:t xml:space="preserve">“tech committee,”</w:t>
      </w:r>
      <w:r>
        <w:t xml:space="preserve"> </w:t>
      </w:r>
      <w:r>
        <w:t xml:space="preserve">“technology committee,”</w:t>
      </w:r>
      <w:r>
        <w:t xml:space="preserve"> </w:t>
      </w:r>
      <w:r>
        <w:t xml:space="preserve">“director expertise,”</w:t>
      </w:r>
      <w:r>
        <w:t xml:space="preserve"> </w:t>
      </w:r>
      <w:r>
        <w:t xml:space="preserve">“board human capital,”</w:t>
      </w:r>
      <w:r>
        <w:t xml:space="preserve"> </w:t>
      </w:r>
      <w:r>
        <w:t xml:space="preserve">“STEM directors”</w:t>
      </w:r>
      <w:r>
        <w:t xml:space="preserve"> </w:t>
      </w:r>
      <w:r>
        <w:t xml:space="preserve">- Innovation:</w:t>
      </w:r>
      <w:r>
        <w:t xml:space="preserve"> </w:t>
      </w:r>
      <w:r>
        <w:t xml:space="preserve">“innovation,”</w:t>
      </w:r>
      <w:r>
        <w:t xml:space="preserve"> </w:t>
      </w:r>
      <w:r>
        <w:t xml:space="preserve">“technology adoption,”</w:t>
      </w:r>
      <w:r>
        <w:t xml:space="preserve"> </w:t>
      </w:r>
      <w:r>
        <w:t xml:space="preserve">“R&amp;D,”</w:t>
      </w:r>
      <w:r>
        <w:t xml:space="preserve"> </w:t>
      </w:r>
      <w:r>
        <w:t xml:space="preserve">“technological change,”</w:t>
      </w:r>
      <w:r>
        <w:t xml:space="preserve"> </w:t>
      </w:r>
      <w:r>
        <w:t xml:space="preserve">“disruptive technology”</w:t>
      </w:r>
    </w:p>
    <w:bookmarkEnd w:id="114"/>
    <w:bookmarkStart w:id="115" w:name="keywords-combination-2"/>
    <w:p>
      <w:pPr>
        <w:pStyle w:val="Heading2"/>
      </w:pPr>
      <w:r>
        <w:t xml:space="preserve">Keywords combination</w:t>
      </w:r>
    </w:p>
    <w:p>
      <w:pPr>
        <w:pStyle w:val="SourceCode"/>
      </w:pPr>
      <w:r>
        <w:rPr>
          <w:rStyle w:val="VerbatimChar"/>
        </w:rPr>
        <w:t xml:space="preserve">("tech committee" OR "technology committee" OR "director expertise"</w:t>
      </w:r>
      <w:r>
        <w:br/>
      </w:r>
      <w:r>
        <w:rPr>
          <w:rStyle w:val="VerbatimChar"/>
        </w:rPr>
        <w:t xml:space="preserve"> OR "board human capital" OR "STEM director*")</w:t>
      </w:r>
      <w:r>
        <w:br/>
      </w:r>
      <w:r>
        <w:rPr>
          <w:rStyle w:val="VerbatimChar"/>
        </w:rPr>
        <w:t xml:space="preserve">AND</w:t>
      </w:r>
      <w:r>
        <w:br/>
      </w:r>
      <w:r>
        <w:rPr>
          <w:rStyle w:val="VerbatimChar"/>
        </w:rPr>
        <w:t xml:space="preserve">("innovation" OR "technology adoption" OR "R&amp;D" OR "disruptive technology")</w:t>
      </w:r>
    </w:p>
    <w:p>
      <w:pPr>
        <w:pStyle w:val="FirstParagraph"/>
      </w:pPr>
      <w:r>
        <w:rPr>
          <w:b/>
          <w:bCs/>
        </w:rPr>
        <w:t xml:space="preserve">Databases</w:t>
      </w:r>
      <w:r>
        <w:t xml:space="preserve">: Web of Science, Scopus, SSRN</w:t>
      </w:r>
      <w:r>
        <w:t xml:space="preserve"> </w:t>
      </w:r>
      <w:r>
        <w:rPr>
          <w:b/>
          <w:bCs/>
        </w:rPr>
        <w:t xml:space="preserve">Expected results</w:t>
      </w:r>
      <w:r>
        <w:t xml:space="preserve">: 150-300 articles</w:t>
      </w:r>
      <w:r>
        <w:t xml:space="preserve"> </w:t>
      </w:r>
      <w:r>
        <w:rPr>
          <w:b/>
          <w:bCs/>
        </w:rPr>
        <w:t xml:space="preserve">Inclusion</w:t>
      </w:r>
      <w:r>
        <w:t xml:space="preserve">: Empirical studies linking board-level technical expertise to firm innovation outcomes</w:t>
      </w:r>
      <w:r>
        <w:t xml:space="preserve"> </w:t>
      </w:r>
      <w:r>
        <w:rPr>
          <w:b/>
          <w:bCs/>
        </w:rPr>
        <w:t xml:space="preserve">Exclusion</w:t>
      </w:r>
      <w:r>
        <w:t xml:space="preserve">: CEO-only studies (unless board-level analysis included), theoretical-only papers</w:t>
      </w:r>
    </w:p>
    <w:bookmarkEnd w:id="115"/>
    <w:bookmarkEnd w:id="116"/>
    <w:bookmarkStart w:id="117" w:name="additional-keywords-during-writing"/>
    <w:p>
      <w:pPr>
        <w:pStyle w:val="Heading1"/>
      </w:pPr>
      <w:r>
        <w:t xml:space="preserve">Additional Keywords (during writing)</w:t>
      </w:r>
    </w:p>
    <w:p>
      <w:pPr>
        <w:pStyle w:val="SourceCode"/>
      </w:pPr>
      <w:r>
        <w:rPr>
          <w:rStyle w:val="VerbatimChar"/>
        </w:rPr>
        <w:t xml:space="preserve">("cognitive faultlines" OR "age diversity" OR "generational diversity")</w:t>
      </w:r>
      <w:r>
        <w:br/>
      </w:r>
      <w:r>
        <w:rPr>
          <w:rStyle w:val="VerbatimChar"/>
        </w:rPr>
        <w:t xml:space="preserve">AND</w:t>
      </w:r>
      <w:r>
        <w:br/>
      </w:r>
      <w:r>
        <w:rPr>
          <w:rStyle w:val="VerbatimChar"/>
        </w:rPr>
        <w:t xml:space="preserve">("top management team" OR "board" OR "executive" OR "TMT")</w:t>
      </w:r>
    </w:p>
    <w:bookmarkEnd w:id="117"/>
    <w:bookmarkStart w:id="118" w:name="prisma"/>
    <w:p>
      <w:pPr>
        <w:pStyle w:val="Heading1"/>
      </w:pPr>
      <w:r>
        <w:t xml:space="preserve">PRISMA</w:t>
      </w:r>
    </w:p>
    <w:p>
      <w:pPr>
        <w:pStyle w:val="FirstParagraph"/>
      </w:pPr>
      <w:r>
        <w:rPr>
          <w:i/>
          <w:iCs/>
        </w:rPr>
        <w:t xml:space="preserve">PRISMA flow diagram to be completed after systematic search</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Stage</w:t>
            </w:r>
          </w:p>
        </w:tc>
        <w:tc>
          <w:tcPr/>
          <w:p>
            <w:pPr>
              <w:pStyle w:val="Compact"/>
            </w:pPr>
            <w:r>
              <w:t xml:space="preserve">Round 1</w:t>
            </w:r>
          </w:p>
        </w:tc>
        <w:tc>
          <w:tcPr/>
          <w:p>
            <w:pPr>
              <w:pStyle w:val="Compact"/>
            </w:pPr>
            <w:r>
              <w:t xml:space="preserve">Round 2</w:t>
            </w:r>
          </w:p>
        </w:tc>
        <w:tc>
          <w:tcPr/>
          <w:p>
            <w:pPr>
              <w:pStyle w:val="Compact"/>
            </w:pPr>
            <w:r>
              <w:t xml:space="preserve">Round 3</w:t>
            </w:r>
          </w:p>
        </w:tc>
        <w:tc>
          <w:tcPr/>
          <w:p>
            <w:pPr>
              <w:pStyle w:val="Compact"/>
            </w:pPr>
            <w:r>
              <w:t xml:space="preserve">Total</w:t>
            </w:r>
          </w:p>
        </w:tc>
      </w:tr>
      <w:tr>
        <w:tc>
          <w:tcPr/>
          <w:p>
            <w:pPr>
              <w:pStyle w:val="Compact"/>
            </w:pPr>
            <w:r>
              <w:t xml:space="preserve">Identified</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Screened (title/abstract)</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Full-text assessed</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Included</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Excluded (with reasons)</w:t>
            </w:r>
          </w:p>
        </w:tc>
        <w:tc>
          <w:tcPr/>
          <w:p>
            <w:pPr>
              <w:pStyle w:val="Compact"/>
            </w:pPr>
          </w:p>
        </w:tc>
        <w:tc>
          <w:tcPr/>
          <w:p>
            <w:pPr>
              <w:pStyle w:val="Compact"/>
            </w:pPr>
          </w:p>
        </w:tc>
        <w:tc>
          <w:tcPr/>
          <w:p>
            <w:pPr>
              <w:pStyle w:val="Compact"/>
            </w:pPr>
          </w:p>
        </w:tc>
        <w:tc>
          <w:tcPr/>
          <w:p>
            <w:pPr>
              <w:pStyle w:val="Compact"/>
            </w:pPr>
          </w:p>
        </w:tc>
      </w:tr>
    </w:tbl>
    <w:p>
      <w:pPr>
        <w:pStyle w:val="BodyText"/>
      </w:pPr>
      <w:r>
        <w:rPr>
          <w:b/>
          <w:bCs/>
        </w:rPr>
        <w:t xml:space="preserve">Exclusion reasons to track</w:t>
      </w:r>
      <w:r>
        <w:t xml:space="preserve">:</w:t>
      </w:r>
      <w:r>
        <w:t xml:space="preserve"> </w:t>
      </w:r>
      <w:r>
        <w:t xml:space="preserve">1. Not board-level analysis</w:t>
      </w:r>
      <w:r>
        <w:t xml:space="preserve"> </w:t>
      </w:r>
      <w:r>
        <w:t xml:space="preserve">2. No temporal/vintage dimension</w:t>
      </w:r>
      <w:r>
        <w:t xml:space="preserve"> </w:t>
      </w:r>
      <w:r>
        <w:t xml:space="preserve">3. No empirical component</w:t>
      </w:r>
      <w:r>
        <w:t xml:space="preserve"> </w:t>
      </w:r>
      <w:r>
        <w:t xml:space="preserve">4. Duplicate across databases</w:t>
      </w:r>
      <w:r>
        <w:t xml:space="preserve"> </w:t>
      </w:r>
      <w:r>
        <w:t xml:space="preserve">5. Not in English</w:t>
      </w:r>
      <w:r>
        <w:t xml:space="preserve"> </w:t>
      </w:r>
      <w:r>
        <w:t xml:space="preserve">6. Conference proceedings only (no journal version)</w:t>
      </w:r>
    </w:p>
    <w:bookmarkEnd w:id="118"/>
    <w:bookmarkStart w:id="123" w:name="reference-list"/>
    <w:p>
      <w:pPr>
        <w:pStyle w:val="Heading1"/>
      </w:pPr>
      <w:r>
        <w:t xml:space="preserve">Reference List</w:t>
      </w:r>
    </w:p>
    <w:p>
      <w:pPr>
        <w:pStyle w:val="FirstParagraph"/>
      </w:pPr>
      <w:r>
        <w:t xml:space="preserve">Category, Classification and Decision Note for Selected Literature in Rounds</w:t>
      </w:r>
    </w:p>
    <w:bookmarkStart w:id="119" w:name="round-1-board-composition-ai"/>
    <w:p>
      <w:pPr>
        <w:pStyle w:val="Heading2"/>
      </w:pPr>
      <w:r>
        <w:t xml:space="preserve">Round 1: Board Composition &amp; AI</w:t>
      </w:r>
    </w:p>
    <w:tbl>
      <w:tblPr>
        <w:tblStyle w:val="Table"/>
        <w:tblW w:type="pct" w:w="5000"/>
        <w:tblLayout w:type="fixed"/>
        <w:tblLook w:firstRow="1" w:lastRow="0" w:firstColumn="0" w:lastColumn="0" w:noHBand="0" w:noVBand="0" w:val="0020"/>
      </w:tblPr>
      <w:tblGrid>
        <w:gridCol w:w="594"/>
        <w:gridCol w:w="2178"/>
        <w:gridCol w:w="1980"/>
        <w:gridCol w:w="1980"/>
        <w:gridCol w:w="1188"/>
      </w:tblGrid>
      <w:tr>
        <w:trPr>
          <w:tblHeader w:val="on"/>
        </w:trPr>
        <w:tc>
          <w:tcPr/>
          <w:p>
            <w:pPr>
              <w:pStyle w:val="Compact"/>
            </w:pPr>
            <w:r>
              <w:t xml:space="preserve">#</w:t>
            </w:r>
          </w:p>
        </w:tc>
        <w:tc>
          <w:tcPr/>
          <w:p>
            <w:pPr>
              <w:pStyle w:val="Compact"/>
            </w:pPr>
            <w:r>
              <w:t xml:space="preserve">Reference</w:t>
            </w:r>
          </w:p>
        </w:tc>
        <w:tc>
          <w:tcPr/>
          <w:p>
            <w:pPr>
              <w:pStyle w:val="Compact"/>
            </w:pPr>
            <w:r>
              <w:t xml:space="preserve">Category</w:t>
            </w:r>
          </w:p>
        </w:tc>
        <w:tc>
          <w:tcPr/>
          <w:p>
            <w:pPr>
              <w:pStyle w:val="Compact"/>
            </w:pPr>
            <w:r>
              <w:t xml:space="preserve">Decision</w:t>
            </w:r>
          </w:p>
        </w:tc>
        <w:tc>
          <w:tcPr/>
          <w:p>
            <w:pPr>
              <w:pStyle w:val="Compact"/>
            </w:pPr>
            <w:r>
              <w:t xml:space="preserve">Note</w:t>
            </w:r>
          </w:p>
        </w:tc>
      </w:tr>
      <w:tr>
        <w:tc>
          <w:tcPr/>
          <w:p>
            <w:pPr>
              <w:pStyle w:val="Compact"/>
            </w:pPr>
            <w:r>
              <w:t xml:space="preserve">1</w:t>
            </w:r>
          </w:p>
        </w:tc>
        <w:tc>
          <w:tcPr/>
          <w:p>
            <w:pPr>
              <w:pStyle w:val="Compact"/>
            </w:pPr>
            <w:r>
              <w:t xml:space="preserve">Hoppmann, Naegele, &amp; Girod (2019). Boards as a source of inertia.</w:t>
            </w:r>
            <w:r>
              <w:t xml:space="preserve"> </w:t>
            </w:r>
            <w:r>
              <w:rPr>
                <w:i/>
                <w:iCs/>
              </w:rPr>
              <w:t xml:space="preserve">AMJ</w:t>
            </w:r>
          </w:p>
        </w:tc>
        <w:tc>
          <w:tcPr/>
          <w:p>
            <w:pPr>
              <w:pStyle w:val="Compact"/>
            </w:pPr>
            <w:r>
              <w:t xml:space="preserve">Board Inertia</w:t>
            </w:r>
          </w:p>
        </w:tc>
        <w:tc>
          <w:tcPr/>
          <w:p>
            <w:pPr>
              <w:pStyle w:val="Compact"/>
            </w:pPr>
            <w:r>
              <w:rPr>
                <w:b/>
                <w:bCs/>
              </w:rPr>
              <w:t xml:space="preserve">Include (A)</w:t>
            </w:r>
          </w:p>
        </w:tc>
        <w:tc>
          <w:tcPr/>
          <w:p>
            <w:pPr>
              <w:pStyle w:val="Compact"/>
            </w:pPr>
            <w:r>
              <w:t xml:space="preserve">Core reference: boards can resist change during discontinuities</w:t>
            </w:r>
          </w:p>
        </w:tc>
      </w:tr>
      <w:tr>
        <w:tc>
          <w:tcPr/>
          <w:p>
            <w:pPr>
              <w:pStyle w:val="Compact"/>
            </w:pPr>
            <w:r>
              <w:t xml:space="preserve">2</w:t>
            </w:r>
          </w:p>
        </w:tc>
        <w:tc>
          <w:tcPr/>
          <w:p>
            <w:pPr>
              <w:pStyle w:val="Compact"/>
            </w:pPr>
            <w:r>
              <w:t xml:space="preserve">Montagnani &amp; Passador (2020). AI for Companies: Tech Committees in EU and US</w:t>
            </w:r>
          </w:p>
        </w:tc>
        <w:tc>
          <w:tcPr/>
          <w:p>
            <w:pPr>
              <w:pStyle w:val="Compact"/>
            </w:pPr>
            <w:r>
              <w:t xml:space="preserve">Tech Committee</w:t>
            </w:r>
          </w:p>
        </w:tc>
        <w:tc>
          <w:tcPr/>
          <w:p>
            <w:pPr>
              <w:pStyle w:val="Compact"/>
            </w:pPr>
            <w:r>
              <w:rPr>
                <w:b/>
                <w:bCs/>
              </w:rPr>
              <w:t xml:space="preserve">Include (A)</w:t>
            </w:r>
          </w:p>
        </w:tc>
        <w:tc>
          <w:tcPr/>
          <w:p>
            <w:pPr>
              <w:pStyle w:val="Compact"/>
            </w:pPr>
            <w:r>
              <w:t xml:space="preserve">Empirical analysis of tech committee presence and AI</w:t>
            </w:r>
          </w:p>
        </w:tc>
      </w:tr>
      <w:tr>
        <w:tc>
          <w:tcPr/>
          <w:p>
            <w:pPr>
              <w:pStyle w:val="Compact"/>
            </w:pPr>
            <w:r>
              <w:t xml:space="preserve">3</w:t>
            </w:r>
          </w:p>
        </w:tc>
        <w:tc>
          <w:tcPr/>
          <w:p>
            <w:pPr>
              <w:pStyle w:val="Compact"/>
            </w:pPr>
            <w:r>
              <w:t xml:space="preserve">Ma (2025). Technological obsolescence.</w:t>
            </w:r>
            <w:r>
              <w:t xml:space="preserve"> </w:t>
            </w:r>
            <w:r>
              <w:rPr>
                <w:i/>
                <w:iCs/>
              </w:rPr>
              <w:t xml:space="preserve">Review of Financial Studies</w:t>
            </w:r>
          </w:p>
        </w:tc>
        <w:tc>
          <w:tcPr/>
          <w:p>
            <w:pPr>
              <w:pStyle w:val="Compact"/>
            </w:pPr>
            <w:r>
              <w:t xml:space="preserve">Obsolescence</w:t>
            </w:r>
          </w:p>
        </w:tc>
        <w:tc>
          <w:tcPr/>
          <w:p>
            <w:pPr>
              <w:pStyle w:val="Compact"/>
            </w:pPr>
            <w:r>
              <w:rPr>
                <w:b/>
                <w:bCs/>
              </w:rPr>
              <w:t xml:space="preserve">Include (A)</w:t>
            </w:r>
          </w:p>
        </w:tc>
        <w:tc>
          <w:tcPr/>
          <w:p>
            <w:pPr>
              <w:pStyle w:val="Compact"/>
            </w:pPr>
            <w:r>
              <w:t xml:space="preserve">Recent finance perspective on technological obsolescence</w:t>
            </w:r>
          </w:p>
        </w:tc>
      </w:tr>
    </w:tbl>
    <w:bookmarkEnd w:id="119"/>
    <w:bookmarkStart w:id="120" w:name="round-2-knowledge-obsolescence"/>
    <w:p>
      <w:pPr>
        <w:pStyle w:val="Heading2"/>
      </w:pPr>
      <w:r>
        <w:t xml:space="preserve">Round 2: Knowledge Obsolescence</w:t>
      </w:r>
    </w:p>
    <w:tbl>
      <w:tblPr>
        <w:tblStyle w:val="Table"/>
        <w:tblW w:type="pct" w:w="5000"/>
        <w:tblLayout w:type="fixed"/>
        <w:tblLook w:firstRow="1" w:lastRow="0" w:firstColumn="0" w:lastColumn="0" w:noHBand="0" w:noVBand="0" w:val="0020"/>
      </w:tblPr>
      <w:tblGrid>
        <w:gridCol w:w="594"/>
        <w:gridCol w:w="2178"/>
        <w:gridCol w:w="1980"/>
        <w:gridCol w:w="1980"/>
        <w:gridCol w:w="1188"/>
      </w:tblGrid>
      <w:tr>
        <w:trPr>
          <w:tblHeader w:val="on"/>
        </w:trPr>
        <w:tc>
          <w:tcPr/>
          <w:p>
            <w:pPr>
              <w:pStyle w:val="Compact"/>
            </w:pPr>
            <w:r>
              <w:t xml:space="preserve">#</w:t>
            </w:r>
          </w:p>
        </w:tc>
        <w:tc>
          <w:tcPr/>
          <w:p>
            <w:pPr>
              <w:pStyle w:val="Compact"/>
            </w:pPr>
            <w:r>
              <w:t xml:space="preserve">Reference</w:t>
            </w:r>
          </w:p>
        </w:tc>
        <w:tc>
          <w:tcPr/>
          <w:p>
            <w:pPr>
              <w:pStyle w:val="Compact"/>
            </w:pPr>
            <w:r>
              <w:t xml:space="preserve">Category</w:t>
            </w:r>
          </w:p>
        </w:tc>
        <w:tc>
          <w:tcPr/>
          <w:p>
            <w:pPr>
              <w:pStyle w:val="Compact"/>
            </w:pPr>
            <w:r>
              <w:t xml:space="preserve">Decision</w:t>
            </w:r>
          </w:p>
        </w:tc>
        <w:tc>
          <w:tcPr/>
          <w:p>
            <w:pPr>
              <w:pStyle w:val="Compact"/>
            </w:pPr>
            <w:r>
              <w:t xml:space="preserve">Note</w:t>
            </w:r>
          </w:p>
        </w:tc>
      </w:tr>
      <w:tr>
        <w:tc>
          <w:tcPr/>
          <w:p>
            <w:pPr>
              <w:pStyle w:val="Compact"/>
            </w:pPr>
            <w:r>
              <w:t xml:space="preserve">1</w:t>
            </w:r>
          </w:p>
        </w:tc>
        <w:tc>
          <w:tcPr/>
          <w:p>
            <w:pPr>
              <w:pStyle w:val="Compact"/>
            </w:pPr>
            <w:r>
              <w:t xml:space="preserve">Boone, Ganeshan, &amp; Hicks (2008). Learning and knowledge depreciation.</w:t>
            </w:r>
            <w:r>
              <w:t xml:space="preserve"> </w:t>
            </w:r>
            <w:r>
              <w:rPr>
                <w:i/>
                <w:iCs/>
              </w:rPr>
              <w:t xml:space="preserve">Management Science</w:t>
            </w:r>
          </w:p>
        </w:tc>
        <w:tc>
          <w:tcPr/>
          <w:p>
            <w:pPr>
              <w:pStyle w:val="Compact"/>
            </w:pPr>
            <w:r>
              <w:t xml:space="preserve">Knowledge Depreciation</w:t>
            </w:r>
          </w:p>
        </w:tc>
        <w:tc>
          <w:tcPr/>
          <w:p>
            <w:pPr>
              <w:pStyle w:val="Compact"/>
            </w:pPr>
            <w:r>
              <w:rPr>
                <w:b/>
                <w:bCs/>
              </w:rPr>
              <w:t xml:space="preserve">Include (A)</w:t>
            </w:r>
          </w:p>
        </w:tc>
        <w:tc>
          <w:tcPr/>
          <w:p>
            <w:pPr>
              <w:pStyle w:val="Compact"/>
            </w:pPr>
            <w:r>
              <w:t xml:space="preserve">Foundational: knowledge depreciation in professional services</w:t>
            </w:r>
          </w:p>
        </w:tc>
      </w:tr>
      <w:tr>
        <w:tc>
          <w:tcPr/>
          <w:p>
            <w:pPr>
              <w:pStyle w:val="Compact"/>
            </w:pPr>
            <w:r>
              <w:t xml:space="preserve">2</w:t>
            </w:r>
          </w:p>
        </w:tc>
        <w:tc>
          <w:tcPr/>
          <w:p>
            <w:pPr>
              <w:pStyle w:val="Compact"/>
            </w:pPr>
            <w:r>
              <w:t xml:space="preserve">Shearer &amp; Steger (1975). Manpower obsolescence.</w:t>
            </w:r>
            <w:r>
              <w:t xml:space="preserve"> </w:t>
            </w:r>
            <w:r>
              <w:rPr>
                <w:i/>
                <w:iCs/>
              </w:rPr>
              <w:t xml:space="preserve">AMJ</w:t>
            </w:r>
          </w:p>
        </w:tc>
        <w:tc>
          <w:tcPr/>
          <w:p>
            <w:pPr>
              <w:pStyle w:val="Compact"/>
            </w:pPr>
            <w:r>
              <w:t xml:space="preserve">Skill Obsolescence</w:t>
            </w:r>
          </w:p>
        </w:tc>
        <w:tc>
          <w:tcPr/>
          <w:p>
            <w:pPr>
              <w:pStyle w:val="Compact"/>
            </w:pPr>
            <w:r>
              <w:rPr>
                <w:b/>
                <w:bCs/>
              </w:rPr>
              <w:t xml:space="preserve">Include (B)</w:t>
            </w:r>
          </w:p>
        </w:tc>
        <w:tc>
          <w:tcPr/>
          <w:p>
            <w:pPr>
              <w:pStyle w:val="Compact"/>
            </w:pPr>
            <w:r>
              <w:t xml:space="preserve">Classic: half-life of engineering knowledge</w:t>
            </w:r>
          </w:p>
        </w:tc>
      </w:tr>
      <w:tr>
        <w:tc>
          <w:tcPr/>
          <w:p>
            <w:pPr>
              <w:pStyle w:val="Compact"/>
            </w:pPr>
            <w:r>
              <w:t xml:space="preserve">3</w:t>
            </w:r>
          </w:p>
        </w:tc>
        <w:tc>
          <w:tcPr/>
          <w:p>
            <w:pPr>
              <w:pStyle w:val="Compact"/>
            </w:pPr>
            <w:r>
              <w:t xml:space="preserve">Goldin (2014). A grand gender convergence.</w:t>
            </w:r>
            <w:r>
              <w:t xml:space="preserve"> </w:t>
            </w:r>
            <w:r>
              <w:rPr>
                <w:i/>
                <w:iCs/>
              </w:rPr>
              <w:t xml:space="preserve">AER</w:t>
            </w:r>
          </w:p>
        </w:tc>
        <w:tc>
          <w:tcPr/>
          <w:p>
            <w:pPr>
              <w:pStyle w:val="Compact"/>
            </w:pPr>
            <w:r>
              <w:t xml:space="preserve">Education Returns</w:t>
            </w:r>
          </w:p>
        </w:tc>
        <w:tc>
          <w:tcPr/>
          <w:p>
            <w:pPr>
              <w:pStyle w:val="Compact"/>
            </w:pPr>
            <w:r>
              <w:rPr>
                <w:b/>
                <w:bCs/>
              </w:rPr>
              <w:t xml:space="preserve">Include (C)</w:t>
            </w:r>
          </w:p>
        </w:tc>
        <w:tc>
          <w:tcPr/>
          <w:p>
            <w:pPr>
              <w:pStyle w:val="Compact"/>
            </w:pPr>
            <w:r>
              <w:t xml:space="preserve">Vintage of education affects wages and productivity</w:t>
            </w:r>
          </w:p>
        </w:tc>
      </w:tr>
    </w:tbl>
    <w:bookmarkEnd w:id="120"/>
    <w:bookmarkStart w:id="121" w:name="round-3-board-expertise-innovation"/>
    <w:p>
      <w:pPr>
        <w:pStyle w:val="Heading2"/>
      </w:pPr>
      <w:r>
        <w:t xml:space="preserve">Round 3: Board Expertise &amp; Innovation</w:t>
      </w:r>
    </w:p>
    <w:tbl>
      <w:tblPr>
        <w:tblStyle w:val="Table"/>
        <w:tblW w:type="pct" w:w="5000"/>
        <w:tblLayout w:type="fixed"/>
        <w:tblLook w:firstRow="1" w:lastRow="0" w:firstColumn="0" w:lastColumn="0" w:noHBand="0" w:noVBand="0" w:val="0020"/>
      </w:tblPr>
      <w:tblGrid>
        <w:gridCol w:w="594"/>
        <w:gridCol w:w="2178"/>
        <w:gridCol w:w="1980"/>
        <w:gridCol w:w="1980"/>
        <w:gridCol w:w="1188"/>
      </w:tblGrid>
      <w:tr>
        <w:trPr>
          <w:tblHeader w:val="on"/>
        </w:trPr>
        <w:tc>
          <w:tcPr/>
          <w:p>
            <w:pPr>
              <w:pStyle w:val="Compact"/>
            </w:pPr>
            <w:r>
              <w:t xml:space="preserve">#</w:t>
            </w:r>
          </w:p>
        </w:tc>
        <w:tc>
          <w:tcPr/>
          <w:p>
            <w:pPr>
              <w:pStyle w:val="Compact"/>
            </w:pPr>
            <w:r>
              <w:t xml:space="preserve">Reference</w:t>
            </w:r>
          </w:p>
        </w:tc>
        <w:tc>
          <w:tcPr/>
          <w:p>
            <w:pPr>
              <w:pStyle w:val="Compact"/>
            </w:pPr>
            <w:r>
              <w:t xml:space="preserve">Category</w:t>
            </w:r>
          </w:p>
        </w:tc>
        <w:tc>
          <w:tcPr/>
          <w:p>
            <w:pPr>
              <w:pStyle w:val="Compact"/>
            </w:pPr>
            <w:r>
              <w:t xml:space="preserve">Decision</w:t>
            </w:r>
          </w:p>
        </w:tc>
        <w:tc>
          <w:tcPr/>
          <w:p>
            <w:pPr>
              <w:pStyle w:val="Compact"/>
            </w:pPr>
            <w:r>
              <w:t xml:space="preserve">Note</w:t>
            </w:r>
          </w:p>
        </w:tc>
      </w:tr>
      <w:tr>
        <w:tc>
          <w:tcPr/>
          <w:p>
            <w:pPr>
              <w:pStyle w:val="Compact"/>
            </w:pPr>
            <w:r>
              <w:t xml:space="preserve">1</w:t>
            </w:r>
          </w:p>
        </w:tc>
        <w:tc>
          <w:tcPr/>
          <w:p>
            <w:pPr>
              <w:pStyle w:val="Compact"/>
            </w:pPr>
            <w:r>
              <w:t xml:space="preserve">Anderson &amp; Tushman (1990). Technological discontinuities.</w:t>
            </w:r>
            <w:r>
              <w:t xml:space="preserve"> </w:t>
            </w:r>
            <w:r>
              <w:rPr>
                <w:i/>
                <w:iCs/>
              </w:rPr>
              <w:t xml:space="preserve">ASQ</w:t>
            </w:r>
          </w:p>
        </w:tc>
        <w:tc>
          <w:tcPr/>
          <w:p>
            <w:pPr>
              <w:pStyle w:val="Compact"/>
            </w:pPr>
            <w:r>
              <w:t xml:space="preserve">Tech Discontinuity</w:t>
            </w:r>
          </w:p>
        </w:tc>
        <w:tc>
          <w:tcPr/>
          <w:p>
            <w:pPr>
              <w:pStyle w:val="Compact"/>
            </w:pPr>
            <w:r>
              <w:rPr>
                <w:b/>
                <w:bCs/>
              </w:rPr>
              <w:t xml:space="preserve">Include (A)</w:t>
            </w:r>
          </w:p>
        </w:tc>
        <w:tc>
          <w:tcPr/>
          <w:p>
            <w:pPr>
              <w:pStyle w:val="Compact"/>
            </w:pPr>
            <w:r>
              <w:t xml:space="preserve">Foundational: competence-enhancing vs. destroying</w:t>
            </w:r>
          </w:p>
        </w:tc>
      </w:tr>
      <w:tr>
        <w:tc>
          <w:tcPr/>
          <w:p>
            <w:pPr>
              <w:pStyle w:val="Compact"/>
            </w:pPr>
            <w:r>
              <w:t xml:space="preserve">2</w:t>
            </w:r>
          </w:p>
        </w:tc>
        <w:tc>
          <w:tcPr/>
          <w:p>
            <w:pPr>
              <w:pStyle w:val="Compact"/>
            </w:pPr>
            <w:r>
              <w:t xml:space="preserve">Anderson &amp; Tushman (2018). Technological discontinuities (reprint).</w:t>
            </w:r>
            <w:r>
              <w:t xml:space="preserve"> </w:t>
            </w:r>
            <w:r>
              <w:rPr>
                <w:i/>
                <w:iCs/>
              </w:rPr>
              <w:t xml:space="preserve">Routledge</w:t>
            </w:r>
          </w:p>
        </w:tc>
        <w:tc>
          <w:tcPr/>
          <w:p>
            <w:pPr>
              <w:pStyle w:val="Compact"/>
            </w:pPr>
            <w:r>
              <w:t xml:space="preserve">Tech Discontinuity</w:t>
            </w:r>
          </w:p>
        </w:tc>
        <w:tc>
          <w:tcPr/>
          <w:p>
            <w:pPr>
              <w:pStyle w:val="Compact"/>
            </w:pPr>
            <w:r>
              <w:rPr>
                <w:b/>
                <w:bCs/>
              </w:rPr>
              <w:t xml:space="preserve">Include (A)</w:t>
            </w:r>
          </w:p>
        </w:tc>
        <w:tc>
          <w:tcPr/>
          <w:p>
            <w:pPr>
              <w:pStyle w:val="Compact"/>
            </w:pPr>
            <w:r>
              <w:t xml:space="preserve">Updated version of the cyclical model</w:t>
            </w:r>
          </w:p>
        </w:tc>
      </w:tr>
      <w:tr>
        <w:tc>
          <w:tcPr/>
          <w:p>
            <w:pPr>
              <w:pStyle w:val="Compact"/>
            </w:pPr>
            <w:r>
              <w:t xml:space="preserve">3</w:t>
            </w:r>
          </w:p>
        </w:tc>
        <w:tc>
          <w:tcPr/>
          <w:p>
            <w:pPr>
              <w:pStyle w:val="Compact"/>
            </w:pPr>
            <w:r>
              <w:t xml:space="preserve">Lavie (2006). Capability reconfiguration.</w:t>
            </w:r>
            <w:r>
              <w:t xml:space="preserve"> </w:t>
            </w:r>
            <w:r>
              <w:rPr>
                <w:i/>
                <w:iCs/>
              </w:rPr>
              <w:t xml:space="preserve">AMR</w:t>
            </w:r>
          </w:p>
        </w:tc>
        <w:tc>
          <w:tcPr/>
          <w:p>
            <w:pPr>
              <w:pStyle w:val="Compact"/>
            </w:pPr>
            <w:r>
              <w:t xml:space="preserve">Dynamic Capabilities</w:t>
            </w:r>
          </w:p>
        </w:tc>
        <w:tc>
          <w:tcPr/>
          <w:p>
            <w:pPr>
              <w:pStyle w:val="Compact"/>
            </w:pPr>
            <w:r>
              <w:rPr>
                <w:b/>
                <w:bCs/>
              </w:rPr>
              <w:t xml:space="preserve">Include (B)</w:t>
            </w:r>
          </w:p>
        </w:tc>
        <w:tc>
          <w:tcPr/>
          <w:p>
            <w:pPr>
              <w:pStyle w:val="Compact"/>
            </w:pPr>
            <w:r>
              <w:t xml:space="preserve">Incumbent responses to technological change</w:t>
            </w:r>
          </w:p>
        </w:tc>
      </w:tr>
      <w:tr>
        <w:tc>
          <w:tcPr/>
          <w:p>
            <w:pPr>
              <w:pStyle w:val="Compact"/>
            </w:pPr>
            <w:r>
              <w:t xml:space="preserve">4</w:t>
            </w:r>
          </w:p>
        </w:tc>
        <w:tc>
          <w:tcPr/>
          <w:p>
            <w:pPr>
              <w:pStyle w:val="Compact"/>
            </w:pPr>
            <w:r>
              <w:t xml:space="preserve">Kunze &amp; Bruch (2010). Age-based faultlines.</w:t>
            </w:r>
            <w:r>
              <w:t xml:space="preserve"> </w:t>
            </w:r>
            <w:r>
              <w:rPr>
                <w:i/>
                <w:iCs/>
              </w:rPr>
              <w:t xml:space="preserve">Small Group Research</w:t>
            </w:r>
          </w:p>
        </w:tc>
        <w:tc>
          <w:tcPr/>
          <w:p>
            <w:pPr>
              <w:pStyle w:val="Compact"/>
            </w:pPr>
            <w:r>
              <w:t xml:space="preserve">Faultlines</w:t>
            </w:r>
          </w:p>
        </w:tc>
        <w:tc>
          <w:tcPr/>
          <w:p>
            <w:pPr>
              <w:pStyle w:val="Compact"/>
            </w:pPr>
            <w:r>
              <w:rPr>
                <w:b/>
                <w:bCs/>
              </w:rPr>
              <w:t xml:space="preserve">Include (B)</w:t>
            </w:r>
          </w:p>
        </w:tc>
        <w:tc>
          <w:tcPr/>
          <w:p>
            <w:pPr>
              <w:pStyle w:val="Compact"/>
            </w:pPr>
            <w:r>
              <w:t xml:space="preserve">Age-based cognitive faultlines in teams</w:t>
            </w:r>
          </w:p>
        </w:tc>
      </w:tr>
      <w:tr>
        <w:tc>
          <w:tcPr/>
          <w:p>
            <w:pPr>
              <w:pStyle w:val="Compact"/>
            </w:pPr>
            <w:r>
              <w:t xml:space="preserve">5</w:t>
            </w:r>
          </w:p>
        </w:tc>
        <w:tc>
          <w:tcPr/>
          <w:p>
            <w:pPr>
              <w:pStyle w:val="Compact"/>
            </w:pPr>
            <w:r>
              <w:t xml:space="preserve">Mundlamuri et al. (2025). Evolution of AI.</w:t>
            </w:r>
            <w:r>
              <w:t xml:space="preserve"> </w:t>
            </w:r>
            <w:r>
              <w:rPr>
                <w:i/>
                <w:iCs/>
              </w:rPr>
              <w:t xml:space="preserve">IEEE Access</w:t>
            </w:r>
          </w:p>
        </w:tc>
        <w:tc>
          <w:tcPr/>
          <w:p>
            <w:pPr>
              <w:pStyle w:val="Compact"/>
            </w:pPr>
            <w:r>
              <w:t xml:space="preserve">AI History</w:t>
            </w:r>
          </w:p>
        </w:tc>
        <w:tc>
          <w:tcPr/>
          <w:p>
            <w:pPr>
              <w:pStyle w:val="Compact"/>
            </w:pPr>
            <w:r>
              <w:rPr>
                <w:b/>
                <w:bCs/>
              </w:rPr>
              <w:t xml:space="preserve">Include (C)</w:t>
            </w:r>
          </w:p>
        </w:tc>
        <w:tc>
          <w:tcPr/>
          <w:p>
            <w:pPr>
              <w:pStyle w:val="Compact"/>
            </w:pPr>
            <w:r>
              <w:t xml:space="preserve">AI eras classification for vintage categorization</w:t>
            </w:r>
          </w:p>
        </w:tc>
      </w:tr>
    </w:tbl>
    <w:bookmarkEnd w:id="121"/>
    <w:bookmarkStart w:id="122" w:name="additional-during-and-after-writing"/>
    <w:p>
      <w:pPr>
        <w:pStyle w:val="Heading2"/>
      </w:pPr>
      <w:r>
        <w:t xml:space="preserve">Additional (during and after writing)</w:t>
      </w:r>
    </w:p>
    <w:tbl>
      <w:tblPr>
        <w:tblStyle w:val="Table"/>
        <w:tblW w:type="pct" w:w="5000"/>
        <w:tblLayout w:type="fixed"/>
        <w:tblLook w:firstRow="1" w:lastRow="0" w:firstColumn="0" w:lastColumn="0" w:noHBand="0" w:noVBand="0" w:val="0020"/>
      </w:tblPr>
      <w:tblGrid>
        <w:gridCol w:w="594"/>
        <w:gridCol w:w="2178"/>
        <w:gridCol w:w="1980"/>
        <w:gridCol w:w="1980"/>
        <w:gridCol w:w="1188"/>
      </w:tblGrid>
      <w:tr>
        <w:trPr>
          <w:tblHeader w:val="on"/>
        </w:trPr>
        <w:tc>
          <w:tcPr/>
          <w:p>
            <w:pPr>
              <w:pStyle w:val="Compact"/>
            </w:pPr>
            <w:r>
              <w:t xml:space="preserve">#</w:t>
            </w:r>
          </w:p>
        </w:tc>
        <w:tc>
          <w:tcPr/>
          <w:p>
            <w:pPr>
              <w:pStyle w:val="Compact"/>
            </w:pPr>
            <w:r>
              <w:t xml:space="preserve">Reference</w:t>
            </w:r>
          </w:p>
        </w:tc>
        <w:tc>
          <w:tcPr/>
          <w:p>
            <w:pPr>
              <w:pStyle w:val="Compact"/>
            </w:pPr>
            <w:r>
              <w:t xml:space="preserve">Category</w:t>
            </w:r>
          </w:p>
        </w:tc>
        <w:tc>
          <w:tcPr/>
          <w:p>
            <w:pPr>
              <w:pStyle w:val="Compact"/>
            </w:pPr>
            <w:r>
              <w:t xml:space="preserve">Decision</w:t>
            </w:r>
          </w:p>
        </w:tc>
        <w:tc>
          <w:tcPr/>
          <w:p>
            <w:pPr>
              <w:pStyle w:val="Compact"/>
            </w:pPr>
            <w:r>
              <w:t xml:space="preserve">Note</w:t>
            </w:r>
          </w:p>
        </w:tc>
      </w:tr>
      <w:tr>
        <w:tc>
          <w:tcPr/>
          <w:p>
            <w:pPr>
              <w:pStyle w:val="Compact"/>
            </w:pPr>
          </w:p>
        </w:tc>
        <w:tc>
          <w:tcPr/>
          <w:p>
            <w:pPr>
              <w:pStyle w:val="Compact"/>
            </w:pPr>
            <w:r>
              <w:t xml:space="preserve">Hambrick &amp; Mason (1984). Upper Echelons.</w:t>
            </w:r>
            <w:r>
              <w:t xml:space="preserve"> </w:t>
            </w:r>
            <w:r>
              <w:rPr>
                <w:i/>
                <w:iCs/>
              </w:rPr>
              <w:t xml:space="preserve">AMR</w:t>
            </w:r>
          </w:p>
        </w:tc>
        <w:tc>
          <w:tcPr/>
          <w:p>
            <w:pPr>
              <w:pStyle w:val="Compact"/>
            </w:pPr>
            <w:r>
              <w:t xml:space="preserve">Upper Echelons</w:t>
            </w:r>
          </w:p>
        </w:tc>
        <w:tc>
          <w:tcPr/>
          <w:p>
            <w:pPr>
              <w:pStyle w:val="Compact"/>
            </w:pPr>
            <w:r>
              <w:rPr>
                <w:b/>
                <w:bCs/>
              </w:rPr>
              <w:t xml:space="preserve">Include (B)</w:t>
            </w:r>
          </w:p>
        </w:tc>
        <w:tc>
          <w:tcPr/>
          <w:p>
            <w:pPr>
              <w:pStyle w:val="Compact"/>
            </w:pPr>
            <w:r>
              <w:t xml:space="preserve">Cognitive imprinting from educational backgrounds</w:t>
            </w:r>
          </w:p>
        </w:tc>
      </w:tr>
      <w:tr>
        <w:tc>
          <w:tcPr/>
          <w:p>
            <w:pPr>
              <w:pStyle w:val="Compact"/>
            </w:pPr>
          </w:p>
        </w:tc>
        <w:tc>
          <w:tcPr/>
          <w:p>
            <w:pPr>
              <w:pStyle w:val="Compact"/>
            </w:pPr>
            <w:r>
              <w:t xml:space="preserve">Cohen &amp; Levinthal (1990). Absorptive Capacity.</w:t>
            </w:r>
            <w:r>
              <w:t xml:space="preserve"> </w:t>
            </w:r>
            <w:r>
              <w:rPr>
                <w:i/>
                <w:iCs/>
              </w:rPr>
              <w:t xml:space="preserve">ASQ</w:t>
            </w:r>
          </w:p>
        </w:tc>
        <w:tc>
          <w:tcPr/>
          <w:p>
            <w:pPr>
              <w:pStyle w:val="Compact"/>
            </w:pPr>
            <w:r>
              <w:t xml:space="preserve">Absorptive Capacity</w:t>
            </w:r>
          </w:p>
        </w:tc>
        <w:tc>
          <w:tcPr/>
          <w:p>
            <w:pPr>
              <w:pStyle w:val="Compact"/>
            </w:pPr>
            <w:r>
              <w:rPr>
                <w:b/>
                <w:bCs/>
              </w:rPr>
              <w:t xml:space="preserve">Include (B)</w:t>
            </w:r>
          </w:p>
        </w:tc>
        <w:tc>
          <w:tcPr/>
          <w:p>
            <w:pPr>
              <w:pStyle w:val="Compact"/>
            </w:pPr>
            <w:r>
              <w:t xml:space="preserve">Prior knowledge affects new knowledge absorption</w:t>
            </w:r>
          </w:p>
        </w:tc>
      </w:tr>
      <w:tr>
        <w:tc>
          <w:tcPr/>
          <w:p>
            <w:pPr>
              <w:pStyle w:val="Compact"/>
            </w:pPr>
          </w:p>
        </w:tc>
        <w:tc>
          <w:tcPr/>
          <w:p>
            <w:pPr>
              <w:pStyle w:val="Compact"/>
            </w:pPr>
            <w:r>
              <w:t xml:space="preserve">Teece (2007). Dynamic Capabilities.</w:t>
            </w:r>
            <w:r>
              <w:t xml:space="preserve"> </w:t>
            </w:r>
            <w:r>
              <w:rPr>
                <w:i/>
                <w:iCs/>
              </w:rPr>
              <w:t xml:space="preserve">Strategic Management Journal</w:t>
            </w:r>
          </w:p>
        </w:tc>
        <w:tc>
          <w:tcPr/>
          <w:p>
            <w:pPr>
              <w:pStyle w:val="Compact"/>
            </w:pPr>
            <w:r>
              <w:t xml:space="preserve">Dynamic Capabilities</w:t>
            </w:r>
          </w:p>
        </w:tc>
        <w:tc>
          <w:tcPr/>
          <w:p>
            <w:pPr>
              <w:pStyle w:val="Compact"/>
            </w:pPr>
            <w:r>
              <w:rPr>
                <w:b/>
                <w:bCs/>
              </w:rPr>
              <w:t xml:space="preserve">Include (C)</w:t>
            </w:r>
          </w:p>
        </w:tc>
        <w:tc>
          <w:tcPr/>
          <w:p>
            <w:pPr>
              <w:pStyle w:val="Compact"/>
            </w:pPr>
            <w:r>
              <w:t xml:space="preserve">Sensing-Seizing-Transforming framework</w:t>
            </w:r>
          </w:p>
        </w:tc>
      </w:tr>
      <w:tr>
        <w:tc>
          <w:tcPr/>
          <w:p>
            <w:pPr>
              <w:pStyle w:val="Compact"/>
            </w:pPr>
          </w:p>
        </w:tc>
        <w:tc>
          <w:tcPr/>
          <w:p>
            <w:pPr>
              <w:pStyle w:val="Compact"/>
            </w:pPr>
            <w:r>
              <w:t xml:space="preserve">DiMaggio &amp; Powell (1983). Institutional Isomorphism.</w:t>
            </w:r>
            <w:r>
              <w:t xml:space="preserve"> </w:t>
            </w:r>
            <w:r>
              <w:rPr>
                <w:i/>
                <w:iCs/>
              </w:rPr>
              <w:t xml:space="preserve">ASR</w:t>
            </w:r>
          </w:p>
        </w:tc>
        <w:tc>
          <w:tcPr/>
          <w:p>
            <w:pPr>
              <w:pStyle w:val="Compact"/>
            </w:pPr>
            <w:r>
              <w:t xml:space="preserve">Institutional Theory</w:t>
            </w:r>
          </w:p>
        </w:tc>
        <w:tc>
          <w:tcPr/>
          <w:p>
            <w:pPr>
              <w:pStyle w:val="Compact"/>
            </w:pPr>
            <w:r>
              <w:rPr>
                <w:b/>
                <w:bCs/>
              </w:rPr>
              <w:t xml:space="preserve">Include (C)</w:t>
            </w:r>
          </w:p>
        </w:tc>
        <w:tc>
          <w:tcPr/>
          <w:p>
            <w:pPr>
              <w:pStyle w:val="Compact"/>
            </w:pPr>
            <w:r>
              <w:t xml:space="preserve">Decoupling: form vs. substance in governance</w:t>
            </w:r>
          </w:p>
        </w:tc>
      </w:tr>
      <w:tr>
        <w:tc>
          <w:tcPr/>
          <w:p>
            <w:pPr>
              <w:pStyle w:val="Compact"/>
            </w:pPr>
          </w:p>
        </w:tc>
        <w:tc>
          <w:tcPr/>
          <w:p>
            <w:pPr>
              <w:pStyle w:val="Compact"/>
            </w:pPr>
            <w:r>
              <w:t xml:space="preserve">Levitt &amp; March (1988). Organizational Learning.</w:t>
            </w:r>
            <w:r>
              <w:t xml:space="preserve"> </w:t>
            </w:r>
            <w:r>
              <w:rPr>
                <w:i/>
                <w:iCs/>
              </w:rPr>
              <w:t xml:space="preserve">Annual Review of Sociology</w:t>
            </w:r>
          </w:p>
        </w:tc>
        <w:tc>
          <w:tcPr/>
          <w:p>
            <w:pPr>
              <w:pStyle w:val="Compact"/>
            </w:pPr>
            <w:r>
              <w:t xml:space="preserve">Competence Trap</w:t>
            </w:r>
          </w:p>
        </w:tc>
        <w:tc>
          <w:tcPr/>
          <w:p>
            <w:pPr>
              <w:pStyle w:val="Compact"/>
            </w:pPr>
            <w:r>
              <w:rPr>
                <w:b/>
                <w:bCs/>
              </w:rPr>
              <w:t xml:space="preserve">Include (C)</w:t>
            </w:r>
          </w:p>
        </w:tc>
        <w:tc>
          <w:tcPr/>
          <w:p>
            <w:pPr>
              <w:pStyle w:val="Compact"/>
            </w:pPr>
            <w:r>
              <w:t xml:space="preserve">Exploitation vs. exploration trade-off</w:t>
            </w:r>
          </w:p>
        </w:tc>
      </w:tr>
    </w:tbl>
    <w:p>
      <w:pPr>
        <w:pStyle w:val="BodyText"/>
      </w:pPr>
      <w:r>
        <w:rPr>
          <w:b/>
          <w:bCs/>
        </w:rPr>
        <w:t xml:space="preserve">Classification Key</w:t>
      </w:r>
      <w:r>
        <w:t xml:space="preserve">: A = Directly relevant to core argument, B = Supports theoretical framework, C = Provides background context</w:t>
      </w:r>
    </w:p>
    <w:bookmarkEnd w:id="122"/>
    <w:bookmarkEnd w:id="123"/>
    <w:bookmarkStart w:id="129" w:name="research-problems"/>
    <w:p>
      <w:pPr>
        <w:pStyle w:val="Heading1"/>
      </w:pPr>
      <w:r>
        <w:t xml:space="preserve">Research Problems</w:t>
      </w:r>
    </w:p>
    <w:bookmarkStart w:id="124" w:name="the-core-paradox"/>
    <w:p>
      <w:pPr>
        <w:pStyle w:val="Heading2"/>
      </w:pPr>
      <w:r>
        <w:t xml:space="preserve">The Core Paradox</w:t>
      </w:r>
    </w:p>
    <w:p>
      <w:pPr>
        <w:pStyle w:val="FirstParagraph"/>
      </w:pPr>
      <w:r>
        <w:t xml:space="preserve">The integration of artificial intelligence (AI) into the strategic core of the modern enterprise represents a pivotal juncture in corporate history. The emergence of Generative AI (GenAI), catalyzed by the public release of ChatGPT in November 2022, has created a</w:t>
      </w:r>
      <w:r>
        <w:t xml:space="preserve"> </w:t>
      </w:r>
      <w:r>
        <w:rPr>
          <w:b/>
          <w:bCs/>
        </w:rPr>
        <w:t xml:space="preserve">competence-destroying technological discontinuity</w:t>
      </w:r>
      <w:r>
        <w:t xml:space="preserve"> </w:t>
      </w:r>
      <w:r>
        <w:t xml:space="preserve">(Anderson &amp; Tushman, 2018).</w:t>
      </w:r>
    </w:p>
    <w:p>
      <w:pPr>
        <w:pStyle w:val="BodyText"/>
      </w:pPr>
      <w:r>
        <w:t xml:space="preserve">While boards of directors are increasingly populated with individuals possessing technical backgrounds, many firms remain sluggish, misguided, or defensively reactive in their adoption of transformative AI technologies. The prevailing frameworks for assessing board competence rely on</w:t>
      </w:r>
      <w:r>
        <w:t xml:space="preserve"> </w:t>
      </w:r>
      <w:r>
        <w:rPr>
          <w:b/>
          <w:bCs/>
        </w:rPr>
        <w:t xml:space="preserve">static indicators</w:t>
      </w:r>
      <w:r>
        <w:t xml:space="preserve"> </w:t>
      </w:r>
      <w:r>
        <w:t xml:space="preserve">(e.g., STEM degree possession, Technology Committee existence). These binary metrics implicitly assume that knowledge is a durable asset with a negligible depreciation rate.</w:t>
      </w:r>
    </w:p>
    <w:bookmarkEnd w:id="124"/>
    <w:bookmarkStart w:id="125" w:name="central-research-question"/>
    <w:p>
      <w:pPr>
        <w:pStyle w:val="Heading2"/>
      </w:pPr>
      <w:r>
        <w:t xml:space="preserve">Central Research Question</w:t>
      </w:r>
    </w:p>
    <w:p>
      <w:pPr>
        <w:pStyle w:val="BlockText"/>
      </w:pPr>
      <w:r>
        <w:rPr>
          <w:b/>
          <w:bCs/>
        </w:rPr>
        <w:t xml:space="preserve">Does the vintage of directors’ technical education moderate the relationship between board technical competence and the firm’s adoption of Generative AI?</w:t>
      </w:r>
    </w:p>
    <w:bookmarkEnd w:id="125"/>
    <w:bookmarkStart w:id="126" w:name="sub-questions"/>
    <w:p>
      <w:pPr>
        <w:pStyle w:val="Heading2"/>
      </w:pPr>
      <w:r>
        <w:t xml:space="preserve">Sub-Questions</w:t>
      </w:r>
    </w:p>
    <w:p>
      <w:pPr>
        <w:pStyle w:val="Compact"/>
        <w:numPr>
          <w:ilvl w:val="0"/>
          <w:numId w:val="1047"/>
        </w:numPr>
      </w:pPr>
      <w:r>
        <w:rPr>
          <w:b/>
          <w:bCs/>
        </w:rPr>
        <w:t xml:space="preserve">Latency</w:t>
      </w:r>
      <w:r>
        <w:t xml:space="preserve">: Does a shorter time-since-graduation for technical directors predict faster AI adoption?</w:t>
      </w:r>
    </w:p>
    <w:p>
      <w:pPr>
        <w:pStyle w:val="Compact"/>
        <w:numPr>
          <w:ilvl w:val="0"/>
          <w:numId w:val="1047"/>
        </w:numPr>
      </w:pPr>
      <w:r>
        <w:rPr>
          <w:b/>
          <w:bCs/>
        </w:rPr>
        <w:t xml:space="preserve">Cognitive Faultlines</w:t>
      </w:r>
      <w:r>
        <w:t xml:space="preserve">: How does the variance in education vintage (the gap between the</w:t>
      </w:r>
      <w:r>
        <w:t xml:space="preserve"> </w:t>
      </w:r>
      <w:r>
        <w:t xml:space="preserve">“Old Guard”</w:t>
      </w:r>
      <w:r>
        <w:t xml:space="preserve"> </w:t>
      </w:r>
      <w:r>
        <w:t xml:space="preserve">and</w:t>
      </w:r>
      <w:r>
        <w:t xml:space="preserve"> </w:t>
      </w:r>
      <w:r>
        <w:t xml:space="preserve">“AI Natives”</w:t>
      </w:r>
      <w:r>
        <w:t xml:space="preserve">) affect strategic consensus?</w:t>
      </w:r>
    </w:p>
    <w:p>
      <w:pPr>
        <w:pStyle w:val="Compact"/>
        <w:numPr>
          <w:ilvl w:val="0"/>
          <w:numId w:val="1047"/>
        </w:numPr>
      </w:pPr>
      <w:r>
        <w:rPr>
          <w:b/>
          <w:bCs/>
        </w:rPr>
        <w:t xml:space="preserve">Reskilling</w:t>
      </w:r>
      <w:r>
        <w:t xml:space="preserve">: Can continuous education (lifelong learning) mitigate the effects of knowledge depreciation?</w:t>
      </w:r>
    </w:p>
    <w:bookmarkEnd w:id="126"/>
    <w:bookmarkStart w:id="127" w:name="theoretical-gap"/>
    <w:p>
      <w:pPr>
        <w:pStyle w:val="Heading2"/>
      </w:pPr>
      <w:r>
        <w:t xml:space="preserve">Theoretical Gap</w:t>
      </w:r>
    </w:p>
    <w:p>
      <w:pPr>
        <w:pStyle w:val="FirstParagraph"/>
      </w:pPr>
      <w:r>
        <w:t xml:space="preserve">The corporate governance literature fails to account for</w:t>
      </w:r>
      <w:r>
        <w:t xml:space="preserve"> </w:t>
      </w:r>
      <w:r>
        <w:rPr>
          <w:b/>
          <w:bCs/>
        </w:rPr>
        <w:t xml:space="preserve">Knowledge Obsolescence</w:t>
      </w:r>
      <w:r>
        <w:t xml:space="preserve"> </w:t>
      </w:r>
      <w:r>
        <w:t xml:space="preserve">in technical domains. While labor economics has long recognized that the vintage of education affects wages and productivity (Goldin, 2014), governance research has largely ignored this dimension, treating a 40-year-old engineering degree as equivalent to a fresh doctorate.</w:t>
      </w:r>
    </w:p>
    <w:p>
      <w:pPr>
        <w:pStyle w:val="BodyText"/>
      </w:pPr>
      <w:r>
        <w:t xml:space="preserve">This oversight is critical: stale knowledge does not merely fail to help; it may</w:t>
      </w:r>
      <w:r>
        <w:t xml:space="preserve"> </w:t>
      </w:r>
      <w:r>
        <w:rPr>
          <w:b/>
          <w:bCs/>
        </w:rPr>
        <w:t xml:space="preserve">actively hinder</w:t>
      </w:r>
      <w:r>
        <w:t xml:space="preserve">. Directors entrenched in obsolete technical paradigms (deterministic, rule-based computing) could view the probabilistic, unstructured nature of GenAI as a risk to be contained rather than a capability to be unleashed (Lavie, 2006).</w:t>
      </w:r>
    </w:p>
    <w:bookmarkEnd w:id="127"/>
    <w:bookmarkStart w:id="128" w:name="key-construct-education-vintage"/>
    <w:p>
      <w:pPr>
        <w:pStyle w:val="Heading2"/>
      </w:pPr>
      <w:r>
        <w:t xml:space="preserve">Key Construct: Education Vintage</w:t>
      </w:r>
    </w:p>
    <w:p>
      <w:pPr>
        <w:pStyle w:val="FirstParagraph"/>
      </w:pPr>
      <w:r>
        <w:t xml:space="preserve">Technical knowledge is not a</w:t>
      </w:r>
      <w:r>
        <w:t xml:space="preserve"> </w:t>
      </w:r>
      <w:r>
        <w:rPr>
          <w:b/>
          <w:bCs/>
        </w:rPr>
        <w:t xml:space="preserve">stock variable</w:t>
      </w:r>
      <w:r>
        <w:t xml:space="preserve"> </w:t>
      </w:r>
      <w:r>
        <w:t xml:space="preserve">but a</w:t>
      </w:r>
      <w:r>
        <w:t xml:space="preserve"> </w:t>
      </w:r>
      <w:r>
        <w:rPr>
          <w:b/>
          <w:bCs/>
        </w:rPr>
        <w:t xml:space="preserve">flow</w:t>
      </w:r>
      <w:r>
        <w:t xml:space="preserve"> </w:t>
      </w:r>
      <w:r>
        <w:t xml:space="preserve">subject to rapid radioactive decay. A director who obtained a Computer Science degree in 1985 (mainframe computing, symbolic AI) possesses a cognitive framework fundamentally distinct from one who graduated in 2020 (deep learning, transformer models, neural networks). Although both are classified as</w:t>
      </w:r>
      <w:r>
        <w:t xml:space="preserve"> </w:t>
      </w:r>
      <w:r>
        <w:t xml:space="preserve">“technically competent”</w:t>
      </w:r>
      <w:r>
        <w:t xml:space="preserve"> </w:t>
      </w:r>
      <w:r>
        <w:t xml:space="preserve">by traditional measures, the</w:t>
      </w:r>
      <w:r>
        <w:t xml:space="preserve"> </w:t>
      </w:r>
      <w:r>
        <w:rPr>
          <w:b/>
          <w:bCs/>
        </w:rPr>
        <w:t xml:space="preserve">vintage</w:t>
      </w:r>
      <w:r>
        <w:t xml:space="preserve"> </w:t>
      </w:r>
      <w:r>
        <w:t xml:space="preserve">of their education dictates the relevance, utility, and validity of their human capital in the face of the GenAI shock.</w:t>
      </w:r>
    </w:p>
    <w:bookmarkEnd w:id="128"/>
    <w:bookmarkEnd w:id="129"/>
    <w:bookmarkStart w:id="140" w:name="key-references"/>
    <w:p>
      <w:pPr>
        <w:pStyle w:val="Heading1"/>
      </w:pPr>
      <w:r>
        <w:t xml:space="preserve">Key References</w:t>
      </w:r>
    </w:p>
    <w:bookmarkStart w:id="137" w:name="foundational-references-by-theory"/>
    <w:p>
      <w:pPr>
        <w:pStyle w:val="Heading2"/>
      </w:pPr>
      <w:r>
        <w:t xml:space="preserve">Foundational References by Theory</w:t>
      </w:r>
    </w:p>
    <w:bookmarkStart w:id="130" w:name="resource-dependence-theory"/>
    <w:p>
      <w:pPr>
        <w:pStyle w:val="Heading3"/>
      </w:pPr>
      <w:r>
        <w:t xml:space="preserve">Resource Dependence Theory</w:t>
      </w:r>
    </w:p>
    <w:p>
      <w:pPr>
        <w:pStyle w:val="Compact"/>
        <w:numPr>
          <w:ilvl w:val="0"/>
          <w:numId w:val="1048"/>
        </w:numPr>
      </w:pPr>
      <w:r>
        <w:t xml:space="preserve">Hoppmann, J., Naegele, F., &amp; Girod, B. (2019). Boards as a source of inertia: Examining the internal challenges and dynamics of boards of directors in times of environmental discontinuities.</w:t>
      </w:r>
      <w:r>
        <w:t xml:space="preserve"> </w:t>
      </w:r>
      <w:r>
        <w:rPr>
          <w:i/>
          <w:iCs/>
        </w:rPr>
        <w:t xml:space="preserve">Academy of Management Journal</w:t>
      </w:r>
      <w:r>
        <w:t xml:space="preserve">, 62(2), 437-468.</w:t>
      </w:r>
    </w:p>
    <w:p>
      <w:pPr>
        <w:pStyle w:val="Compact"/>
        <w:numPr>
          <w:ilvl w:val="0"/>
          <w:numId w:val="1048"/>
        </w:numPr>
      </w:pPr>
      <w:r>
        <w:t xml:space="preserve">Miller, B. A. (2019). Employee resistance to disruptive technological change in higher education (Doctoral dissertation, Walden University).</w:t>
      </w:r>
    </w:p>
    <w:bookmarkEnd w:id="130"/>
    <w:bookmarkStart w:id="131" w:name="human-capital-knowledge-obsolescence"/>
    <w:p>
      <w:pPr>
        <w:pStyle w:val="Heading3"/>
      </w:pPr>
      <w:r>
        <w:t xml:space="preserve">Human Capital &amp; Knowledge Obsolescence</w:t>
      </w:r>
    </w:p>
    <w:p>
      <w:pPr>
        <w:pStyle w:val="Compact"/>
        <w:numPr>
          <w:ilvl w:val="0"/>
          <w:numId w:val="1049"/>
        </w:numPr>
      </w:pPr>
      <w:r>
        <w:t xml:space="preserve">Boone, T., Ganeshan, R., &amp; Hicks, R. L. (2008). Learning and knowledge depreciation in professional services.</w:t>
      </w:r>
      <w:r>
        <w:t xml:space="preserve"> </w:t>
      </w:r>
      <w:r>
        <w:rPr>
          <w:i/>
          <w:iCs/>
        </w:rPr>
        <w:t xml:space="preserve">Management Science</w:t>
      </w:r>
      <w:r>
        <w:t xml:space="preserve">, 54(7), 1231-1236.</w:t>
      </w:r>
    </w:p>
    <w:p>
      <w:pPr>
        <w:pStyle w:val="Compact"/>
        <w:numPr>
          <w:ilvl w:val="0"/>
          <w:numId w:val="1049"/>
        </w:numPr>
      </w:pPr>
      <w:r>
        <w:t xml:space="preserve">Goldin, C. (2014). A grand gender convergence: Its last chapter.</w:t>
      </w:r>
      <w:r>
        <w:t xml:space="preserve"> </w:t>
      </w:r>
      <w:r>
        <w:rPr>
          <w:i/>
          <w:iCs/>
        </w:rPr>
        <w:t xml:space="preserve">American Economic Review</w:t>
      </w:r>
      <w:r>
        <w:t xml:space="preserve">, 104(4), 1091-1119.</w:t>
      </w:r>
    </w:p>
    <w:p>
      <w:pPr>
        <w:pStyle w:val="Compact"/>
        <w:numPr>
          <w:ilvl w:val="0"/>
          <w:numId w:val="1049"/>
        </w:numPr>
      </w:pPr>
      <w:r>
        <w:t xml:space="preserve">Shearer, R. L., &amp; Steger, J. A. (1975). Manpower obsolescence: A new definition and empirical investigation of personal variables.</w:t>
      </w:r>
      <w:r>
        <w:t xml:space="preserve"> </w:t>
      </w:r>
      <w:r>
        <w:rPr>
          <w:i/>
          <w:iCs/>
        </w:rPr>
        <w:t xml:space="preserve">Academy of Management Journal</w:t>
      </w:r>
      <w:r>
        <w:t xml:space="preserve">, 18(2), 263-275.</w:t>
      </w:r>
    </w:p>
    <w:p>
      <w:pPr>
        <w:pStyle w:val="Compact"/>
        <w:numPr>
          <w:ilvl w:val="0"/>
          <w:numId w:val="1049"/>
        </w:numPr>
      </w:pPr>
      <w:r>
        <w:t xml:space="preserve">Ma, S. (2025). Technological obsolescence.</w:t>
      </w:r>
      <w:r>
        <w:t xml:space="preserve"> </w:t>
      </w:r>
      <w:r>
        <w:rPr>
          <w:i/>
          <w:iCs/>
        </w:rPr>
        <w:t xml:space="preserve">The Review of Financial Studies</w:t>
      </w:r>
      <w:r>
        <w:t xml:space="preserve">, hhaf059.</w:t>
      </w:r>
    </w:p>
    <w:bookmarkEnd w:id="131"/>
    <w:bookmarkStart w:id="132" w:name="technological-discontinuities"/>
    <w:p>
      <w:pPr>
        <w:pStyle w:val="Heading3"/>
      </w:pPr>
      <w:r>
        <w:t xml:space="preserve">Technological Discontinuities</w:t>
      </w:r>
    </w:p>
    <w:p>
      <w:pPr>
        <w:pStyle w:val="Compact"/>
        <w:numPr>
          <w:ilvl w:val="0"/>
          <w:numId w:val="1050"/>
        </w:numPr>
      </w:pPr>
      <w:r>
        <w:t xml:space="preserve">Anderson, P., &amp; Tushman, M. L. (1990). Technological discontinuities and dominant designs: A cyclical model of technological change.</w:t>
      </w:r>
      <w:r>
        <w:t xml:space="preserve"> </w:t>
      </w:r>
      <w:r>
        <w:rPr>
          <w:i/>
          <w:iCs/>
        </w:rPr>
        <w:t xml:space="preserve">Administrative Science Quarterly</w:t>
      </w:r>
      <w:r>
        <w:t xml:space="preserve">, 35(4), 604-633.</w:t>
      </w:r>
    </w:p>
    <w:p>
      <w:pPr>
        <w:pStyle w:val="Compact"/>
        <w:numPr>
          <w:ilvl w:val="0"/>
          <w:numId w:val="1050"/>
        </w:numPr>
      </w:pPr>
      <w:r>
        <w:t xml:space="preserve">Anderson, P., &amp; Tushman, M. L. (2018). Technological discontinuities and dominant designs: A cyclical model of technological change. In</w:t>
      </w:r>
      <w:r>
        <w:t xml:space="preserve"> </w:t>
      </w:r>
      <w:r>
        <w:rPr>
          <w:i/>
          <w:iCs/>
        </w:rPr>
        <w:t xml:space="preserve">Organizational Innovation</w:t>
      </w:r>
      <w:r>
        <w:t xml:space="preserve"> </w:t>
      </w:r>
      <w:r>
        <w:t xml:space="preserve">(pp. 373-402). Routledge.</w:t>
      </w:r>
    </w:p>
    <w:bookmarkEnd w:id="132"/>
    <w:bookmarkStart w:id="133" w:name="board-composition-ai-governance"/>
    <w:p>
      <w:pPr>
        <w:pStyle w:val="Heading3"/>
      </w:pPr>
      <w:r>
        <w:t xml:space="preserve">Board Composition &amp; AI Governance</w:t>
      </w:r>
    </w:p>
    <w:p>
      <w:pPr>
        <w:pStyle w:val="Compact"/>
        <w:numPr>
          <w:ilvl w:val="0"/>
          <w:numId w:val="1051"/>
        </w:numPr>
      </w:pPr>
      <w:r>
        <w:t xml:space="preserve">Montagnani, M. L., &amp; Passador, M. L. (2020). Artificial Intelligence for Companies in a Post Covid World: An Empirical Analysis of Tech Committees in the EU and US.</w:t>
      </w:r>
    </w:p>
    <w:bookmarkEnd w:id="133"/>
    <w:bookmarkStart w:id="134" w:name="cognitive-faultlines"/>
    <w:p>
      <w:pPr>
        <w:pStyle w:val="Heading3"/>
      </w:pPr>
      <w:r>
        <w:t xml:space="preserve">Cognitive Faultlines</w:t>
      </w:r>
    </w:p>
    <w:p>
      <w:pPr>
        <w:pStyle w:val="Compact"/>
        <w:numPr>
          <w:ilvl w:val="0"/>
          <w:numId w:val="1052"/>
        </w:numPr>
      </w:pPr>
      <w:r>
        <w:t xml:space="preserve">Kunze, F., &amp; Bruch, H. (2010). Age-based faultlines and perceived productive energy: The moderation of transformational leadership.</w:t>
      </w:r>
      <w:r>
        <w:t xml:space="preserve"> </w:t>
      </w:r>
      <w:r>
        <w:rPr>
          <w:i/>
          <w:iCs/>
        </w:rPr>
        <w:t xml:space="preserve">Small Group Research</w:t>
      </w:r>
      <w:r>
        <w:t xml:space="preserve">, 41(5), 593-620.</w:t>
      </w:r>
    </w:p>
    <w:bookmarkEnd w:id="134"/>
    <w:bookmarkStart w:id="135" w:name="ai-evolution"/>
    <w:p>
      <w:pPr>
        <w:pStyle w:val="Heading3"/>
      </w:pPr>
      <w:r>
        <w:t xml:space="preserve">AI Evolution</w:t>
      </w:r>
    </w:p>
    <w:p>
      <w:pPr>
        <w:pStyle w:val="Compact"/>
        <w:numPr>
          <w:ilvl w:val="0"/>
          <w:numId w:val="1053"/>
        </w:numPr>
      </w:pPr>
      <w:r>
        <w:t xml:space="preserve">Mundlamuri, R., Gunnam, G. R., Mysari, N. K., &amp; Pujuri, J. (2025). The Evolution of AI: From Classical Machine Learning to Modern Large Language Models.</w:t>
      </w:r>
      <w:r>
        <w:t xml:space="preserve"> </w:t>
      </w:r>
      <w:r>
        <w:rPr>
          <w:i/>
          <w:iCs/>
        </w:rPr>
        <w:t xml:space="preserve">IEEE Access</w:t>
      </w:r>
      <w:r>
        <w:t xml:space="preserve">.</w:t>
      </w:r>
    </w:p>
    <w:bookmarkEnd w:id="135"/>
    <w:bookmarkStart w:id="136" w:name="dynamic-capabilities-1"/>
    <w:p>
      <w:pPr>
        <w:pStyle w:val="Heading3"/>
      </w:pPr>
      <w:r>
        <w:t xml:space="preserve">Dynamic Capabilities</w:t>
      </w:r>
    </w:p>
    <w:p>
      <w:pPr>
        <w:pStyle w:val="Compact"/>
        <w:numPr>
          <w:ilvl w:val="0"/>
          <w:numId w:val="1054"/>
        </w:numPr>
      </w:pPr>
      <w:r>
        <w:t xml:space="preserve">Lavie, D. (2006). Capability reconfiguration: An analysis of incumbent responses to technological change.</w:t>
      </w:r>
      <w:r>
        <w:t xml:space="preserve"> </w:t>
      </w:r>
      <w:r>
        <w:rPr>
          <w:i/>
          <w:iCs/>
        </w:rPr>
        <w:t xml:space="preserve">Academy of Management Review</w:t>
      </w:r>
      <w:r>
        <w:t xml:space="preserve">, 31(1), 153-174.</w:t>
      </w:r>
    </w:p>
    <w:bookmarkEnd w:id="136"/>
    <w:bookmarkEnd w:id="137"/>
    <w:bookmarkStart w:id="138" w:name="key-model-conceptual-framework"/>
    <w:p>
      <w:pPr>
        <w:pStyle w:val="Heading2"/>
      </w:pPr>
      <w:r>
        <w:t xml:space="preserve">Key Model: Conceptual Framework</w:t>
      </w:r>
    </w:p>
    <w:p>
      <w:pPr>
        <w:pStyle w:val="SourceCode"/>
      </w:pPr>
      <w:r>
        <w:rPr>
          <w:rStyle w:val="VerbatimChar"/>
        </w:rPr>
        <w:t xml:space="preserve">Board Technical           Education              GenAI</w:t>
      </w:r>
      <w:r>
        <w:br/>
      </w:r>
      <w:r>
        <w:rPr>
          <w:rStyle w:val="VerbatimChar"/>
        </w:rPr>
        <w:t xml:space="preserve">Competence      ------&gt;   Vintage      ------&gt;   Adoption</w:t>
      </w:r>
      <w:r>
        <w:br/>
      </w:r>
      <w:r>
        <w:rPr>
          <w:rStyle w:val="VerbatimChar"/>
        </w:rPr>
        <w:t xml:space="preserve">(STEM directors)          (Moderator)            (Speed &amp; Depth)</w:t>
      </w:r>
      <w:r>
        <w:br/>
      </w:r>
      <w:r>
        <w:rPr>
          <w:rStyle w:val="VerbatimChar"/>
        </w:rPr>
        <w:t xml:space="preserve">                              |</w:t>
      </w:r>
      <w:r>
        <w:br/>
      </w:r>
      <w:r>
        <w:rPr>
          <w:rStyle w:val="VerbatimChar"/>
        </w:rPr>
        <w:t xml:space="preserve">                    +---------+---------+</w:t>
      </w:r>
      <w:r>
        <w:br/>
      </w:r>
      <w:r>
        <w:rPr>
          <w:rStyle w:val="VerbatimChar"/>
        </w:rPr>
        <w:t xml:space="preserve">                    |                   |</w:t>
      </w:r>
      <w:r>
        <w:br/>
      </w:r>
      <w:r>
        <w:rPr>
          <w:rStyle w:val="VerbatimChar"/>
        </w:rPr>
        <w:t xml:space="preserve">              Tech Committee      Reskilling</w:t>
      </w:r>
      <w:r>
        <w:br/>
      </w:r>
      <w:r>
        <w:rPr>
          <w:rStyle w:val="VerbatimChar"/>
        </w:rPr>
        <w:t xml:space="preserve">              Vintage (H2)       Index (H4)</w:t>
      </w:r>
      <w:r>
        <w:br/>
      </w:r>
      <w:r>
        <w:rPr>
          <w:rStyle w:val="VerbatimChar"/>
        </w:rPr>
        <w:t xml:space="preserve">                    |</w:t>
      </w:r>
      <w:r>
        <w:br/>
      </w:r>
      <w:r>
        <w:rPr>
          <w:rStyle w:val="VerbatimChar"/>
        </w:rPr>
        <w:t xml:space="preserve">              Cognitive</w:t>
      </w:r>
      <w:r>
        <w:br/>
      </w:r>
      <w:r>
        <w:rPr>
          <w:rStyle w:val="VerbatimChar"/>
        </w:rPr>
        <w:t xml:space="preserve">              Faultlines (H3)</w:t>
      </w:r>
    </w:p>
    <w:bookmarkEnd w:id="138"/>
    <w:bookmarkStart w:id="139" w:name="literature-gaps-addressed"/>
    <w:p>
      <w:pPr>
        <w:pStyle w:val="Heading2"/>
      </w:pPr>
      <w:r>
        <w:t xml:space="preserve">Literature Gaps Addressed</w:t>
      </w:r>
    </w:p>
    <w:tbl>
      <w:tblPr>
        <w:tblStyle w:val="Table"/>
        <w:tblW w:type="pct" w:w="5000"/>
        <w:tblLayout w:type="fixed"/>
        <w:tblLook w:firstRow="1" w:lastRow="0" w:firstColumn="0" w:lastColumn="0" w:noHBand="0" w:noVBand="0" w:val="0020"/>
      </w:tblPr>
      <w:tblGrid>
        <w:gridCol w:w="1237"/>
        <w:gridCol w:w="6682"/>
      </w:tblGrid>
      <w:tr>
        <w:trPr>
          <w:tblHeader w:val="on"/>
        </w:trPr>
        <w:tc>
          <w:tcPr/>
          <w:p>
            <w:pPr>
              <w:pStyle w:val="Compact"/>
            </w:pPr>
            <w:r>
              <w:t xml:space="preserve">Gap</w:t>
            </w:r>
          </w:p>
        </w:tc>
        <w:tc>
          <w:tcPr/>
          <w:p>
            <w:pPr>
              <w:pStyle w:val="Compact"/>
            </w:pPr>
            <w:r>
              <w:t xml:space="preserve">How This Study Addresses It</w:t>
            </w:r>
          </w:p>
        </w:tc>
      </w:tr>
      <w:tr>
        <w:tc>
          <w:tcPr/>
          <w:p>
            <w:pPr>
              <w:pStyle w:val="Compact"/>
            </w:pPr>
            <w:r>
              <w:t xml:space="preserve">Static measurement of board technical competence</w:t>
            </w:r>
          </w:p>
        </w:tc>
        <w:tc>
          <w:tcPr/>
          <w:p>
            <w:pPr>
              <w:pStyle w:val="Compact"/>
            </w:pPr>
            <w:r>
              <w:t xml:space="preserve">Introduces temporal dimension via Education Vintage</w:t>
            </w:r>
          </w:p>
        </w:tc>
      </w:tr>
      <w:tr>
        <w:tc>
          <w:tcPr/>
          <w:p>
            <w:pPr>
              <w:pStyle w:val="Compact"/>
            </w:pPr>
            <w:r>
              <w:t xml:space="preserve">Binary STEM degree classification</w:t>
            </w:r>
          </w:p>
        </w:tc>
        <w:tc>
          <w:tcPr/>
          <w:p>
            <w:pPr>
              <w:pStyle w:val="Compact"/>
            </w:pPr>
            <w:r>
              <w:t xml:space="preserve">Continuous TKL measure + vintage categories</w:t>
            </w:r>
          </w:p>
        </w:tc>
      </w:tr>
      <w:tr>
        <w:tc>
          <w:tcPr/>
          <w:p>
            <w:pPr>
              <w:pStyle w:val="Compact"/>
            </w:pPr>
            <w:r>
              <w:t xml:space="preserve">Ignoring knowledge depreciation in governance</w:t>
            </w:r>
          </w:p>
        </w:tc>
        <w:tc>
          <w:tcPr/>
          <w:p>
            <w:pPr>
              <w:pStyle w:val="Compact"/>
            </w:pPr>
            <w:r>
              <w:t xml:space="preserve">Integrates labor economics vintage concept</w:t>
            </w:r>
          </w:p>
        </w:tc>
      </w:tr>
      <w:tr>
        <w:tc>
          <w:tcPr/>
          <w:p>
            <w:pPr>
              <w:pStyle w:val="Compact"/>
            </w:pPr>
            <w:r>
              <w:t xml:space="preserve">Assuming Tech Committee = effective oversight</w:t>
            </w:r>
          </w:p>
        </w:tc>
        <w:tc>
          <w:tcPr/>
          <w:p>
            <w:pPr>
              <w:pStyle w:val="Compact"/>
            </w:pPr>
            <w:r>
              <w:t xml:space="preserve">Tests moderation by committee member vintage</w:t>
            </w:r>
          </w:p>
        </w:tc>
      </w:tr>
      <w:tr>
        <w:tc>
          <w:tcPr/>
          <w:p>
            <w:pPr>
              <w:pStyle w:val="Compact"/>
            </w:pPr>
            <w:r>
              <w:t xml:space="preserve">No causal identification for board-AI relationship</w:t>
            </w:r>
          </w:p>
        </w:tc>
        <w:tc>
          <w:tcPr/>
          <w:p>
            <w:pPr>
              <w:pStyle w:val="Compact"/>
            </w:pPr>
            <w:r>
              <w:t xml:space="preserve">DiD design with ChatGPT as exogenous shock</w:t>
            </w:r>
          </w:p>
        </w:tc>
      </w:tr>
    </w:tbl>
    <w:bookmarkEnd w:id="139"/>
    <w:bookmarkEnd w:id="140"/>
    <w:bookmarkStart w:id="148" w:name="quotes-and-paraphrases"/>
    <w:p>
      <w:pPr>
        <w:pStyle w:val="Heading1"/>
      </w:pPr>
      <w:r>
        <w:t xml:space="preserve">Quotes and Paraphrases</w:t>
      </w:r>
    </w:p>
    <w:bookmarkStart w:id="141" w:name="on-knowledge-obsolescence"/>
    <w:p>
      <w:pPr>
        <w:pStyle w:val="Heading2"/>
      </w:pPr>
      <w:r>
        <w:t xml:space="preserve">On Knowledge Obsolescence</w:t>
      </w:r>
    </w:p>
    <w:p>
      <w:pPr>
        <w:pStyle w:val="BlockText"/>
      </w:pPr>
      <w:r>
        <w:t xml:space="preserve">“The depreciation rate of knowledge in high-technology fields is significantly higher than in law, finance, or management.”</w:t>
      </w:r>
      <w:r>
        <w:t xml:space="preserve"> </w:t>
      </w:r>
      <w:r>
        <w:t xml:space="preserve">– Boone, Ganeshan, &amp; Hicks (2008),</w:t>
      </w:r>
      <w:r>
        <w:t xml:space="preserve"> </w:t>
      </w:r>
      <w:r>
        <w:rPr>
          <w:i/>
          <w:iCs/>
        </w:rPr>
        <w:t xml:space="preserve">Management Science</w:t>
      </w:r>
    </w:p>
    <w:p>
      <w:pPr>
        <w:pStyle w:val="BlockText"/>
      </w:pPr>
      <w:r>
        <w:t xml:space="preserve">“The half-life of engineering knowledge is as short as 2.5 to 5 years.”</w:t>
      </w:r>
      <w:r>
        <w:t xml:space="preserve"> </w:t>
      </w:r>
      <w:r>
        <w:t xml:space="preserve">– Shearer &amp; Steger (1975),</w:t>
      </w:r>
      <w:r>
        <w:t xml:space="preserve"> </w:t>
      </w:r>
      <w:r>
        <w:rPr>
          <w:i/>
          <w:iCs/>
        </w:rPr>
        <w:t xml:space="preserve">Academy of Management Journal</w:t>
      </w:r>
    </w:p>
    <w:bookmarkEnd w:id="141"/>
    <w:bookmarkStart w:id="142" w:name="on-competence-destroying-discontinuities"/>
    <w:p>
      <w:pPr>
        <w:pStyle w:val="Heading2"/>
      </w:pPr>
      <w:r>
        <w:t xml:space="preserve">On Competence-Destroying Discontinuities</w:t>
      </w:r>
    </w:p>
    <w:p>
      <w:pPr>
        <w:pStyle w:val="BlockText"/>
      </w:pPr>
      <w:r>
        <w:t xml:space="preserve">“Unlike incremental technological advances that reward accumulated experience and existing institutional knowledge, competence-destroying discontinuities render vast swaths of prior expertise obsolete.”</w:t>
      </w:r>
      <w:r>
        <w:t xml:space="preserve"> </w:t>
      </w:r>
      <w:r>
        <w:t xml:space="preserve">– Anderson &amp; Tushman (2018)</w:t>
      </w:r>
    </w:p>
    <w:p>
      <w:pPr>
        <w:pStyle w:val="FirstParagraph"/>
      </w:pPr>
      <w:r>
        <w:rPr>
          <w:b/>
          <w:bCs/>
        </w:rPr>
        <w:t xml:space="preserve">Paraphrase</w:t>
      </w:r>
      <w:r>
        <w:t xml:space="preserve">: Competence-destroying discontinuities fundamentally differ from incremental innovations because they invalidate existing expertise rather than building upon it. GenAI represents such a discontinuity for traditional IT governance frameworks.</w:t>
      </w:r>
    </w:p>
    <w:bookmarkEnd w:id="142"/>
    <w:bookmarkStart w:id="143" w:name="on-board-inertia"/>
    <w:p>
      <w:pPr>
        <w:pStyle w:val="Heading2"/>
      </w:pPr>
      <w:r>
        <w:t xml:space="preserve">On Board Inertia</w:t>
      </w:r>
    </w:p>
    <w:p>
      <w:pPr>
        <w:pStyle w:val="BlockText"/>
      </w:pPr>
      <w:r>
        <w:t xml:space="preserve">“Boards as a source of inertia: Examining the internal challenges and dynamics of boards of directors in times of environmental discontinuities.”</w:t>
      </w:r>
      <w:r>
        <w:t xml:space="preserve"> </w:t>
      </w:r>
      <w:r>
        <w:t xml:space="preserve">– Hoppmann, Naegele, &amp; Girod (2019),</w:t>
      </w:r>
      <w:r>
        <w:t xml:space="preserve"> </w:t>
      </w:r>
      <w:r>
        <w:rPr>
          <w:i/>
          <w:iCs/>
        </w:rPr>
        <w:t xml:space="preserve">Academy of Management Journal</w:t>
      </w:r>
    </w:p>
    <w:p>
      <w:pPr>
        <w:pStyle w:val="FirstParagraph"/>
      </w:pPr>
      <w:r>
        <w:rPr>
          <w:b/>
          <w:bCs/>
        </w:rPr>
        <w:t xml:space="preserve">Paraphrase</w:t>
      </w:r>
      <w:r>
        <w:t xml:space="preserve">: Hoppmann et al. demonstrate that boards can become sources of organizational inertia rather than drivers of change, particularly during periods of environmental discontinuity. This supports our argument that vintage-misaligned boards may resist rather than enable GenAI adoption.</w:t>
      </w:r>
    </w:p>
    <w:bookmarkEnd w:id="143"/>
    <w:bookmarkStart w:id="144" w:name="on-cognitive-imprinting"/>
    <w:p>
      <w:pPr>
        <w:pStyle w:val="Heading2"/>
      </w:pPr>
      <w:r>
        <w:t xml:space="preserve">On Cognitive Imprinting</w:t>
      </w:r>
    </w:p>
    <w:p>
      <w:pPr>
        <w:pStyle w:val="FirstParagraph"/>
      </w:pPr>
      <w:r>
        <w:rPr>
          <w:b/>
          <w:bCs/>
        </w:rPr>
        <w:t xml:space="preserve">Paraphrase</w:t>
      </w:r>
      <w:r>
        <w:t xml:space="preserve">: Upper Echelons Theory (Hambrick &amp; Mason, 1984) suggests that executives’ strategic choices reflect their cognitive bases, which are formed during formative educational experiences. These cognitive imprints are resistant to change, meaning a director trained in deterministic computing paradigms will approach GenAI through that established cognitive lens.</w:t>
      </w:r>
    </w:p>
    <w:bookmarkEnd w:id="144"/>
    <w:bookmarkStart w:id="145" w:name="on-the-vintage-effect"/>
    <w:p>
      <w:pPr>
        <w:pStyle w:val="Heading2"/>
      </w:pPr>
      <w:r>
        <w:t xml:space="preserve">On the Vintage Effect</w:t>
      </w:r>
    </w:p>
    <w:p>
      <w:pPr>
        <w:pStyle w:val="FirstParagraph"/>
      </w:pPr>
      <w:r>
        <w:rPr>
          <w:b/>
          <w:bCs/>
        </w:rPr>
        <w:t xml:space="preserve">Paraphrase</w:t>
      </w:r>
      <w:r>
        <w:t xml:space="preserve">: A director who obtained a Computer Science degree in 1985 (the era of mainframe computing and symbolic AI) possesses a cognitive framework fundamentally distinct from one who graduated in 2020 (deep learning and transformer models). Although both are classified as technically competent by traditional databases, the vintage of their education dictates the relevance and utility of their human capital when confronting GenAI.</w:t>
      </w:r>
    </w:p>
    <w:bookmarkEnd w:id="145"/>
    <w:bookmarkStart w:id="146" w:name="on-resource-fossilization"/>
    <w:p>
      <w:pPr>
        <w:pStyle w:val="Heading2"/>
      </w:pPr>
      <w:r>
        <w:t xml:space="preserve">On Resource Fossilization</w:t>
      </w:r>
    </w:p>
    <w:p>
      <w:pPr>
        <w:pStyle w:val="FirstParagraph"/>
      </w:pPr>
      <w:r>
        <w:rPr>
          <w:b/>
          <w:bCs/>
        </w:rPr>
        <w:t xml:space="preserve">Paraphrase (original concept)</w:t>
      </w:r>
      <w:r>
        <w:t xml:space="preserve">: We introduce</w:t>
      </w:r>
      <w:r>
        <w:t xml:space="preserve"> </w:t>
      </w:r>
      <w:r>
        <w:t xml:space="preserve">“Resource Fossilization”</w:t>
      </w:r>
      <w:r>
        <w:t xml:space="preserve"> </w:t>
      </w:r>
      <w:r>
        <w:t xml:space="preserve">to describe the phenomenon where a strategic resource provided by a board member degrades into a liability due to environmental paradigm shifts. When the technology landscape moves from on-premise to cloud, or from analytical AI to generative AI, expertise in the old paradigm loses its strategic value and may actively impede adaptation.</w:t>
      </w:r>
    </w:p>
    <w:bookmarkEnd w:id="146"/>
    <w:bookmarkStart w:id="147" w:name="on-capability-reconfiguration"/>
    <w:p>
      <w:pPr>
        <w:pStyle w:val="Heading2"/>
      </w:pPr>
      <w:r>
        <w:t xml:space="preserve">On Capability Reconfiguration</w:t>
      </w:r>
    </w:p>
    <w:p>
      <w:pPr>
        <w:pStyle w:val="BlockText"/>
      </w:pPr>
      <w:r>
        <w:t xml:space="preserve">“Capability reconfiguration: An analysis of incumbent responses to technological change.”</w:t>
      </w:r>
      <w:r>
        <w:t xml:space="preserve"> </w:t>
      </w:r>
      <w:r>
        <w:t xml:space="preserve">– Lavie (2006),</w:t>
      </w:r>
      <w:r>
        <w:t xml:space="preserve"> </w:t>
      </w:r>
      <w:r>
        <w:rPr>
          <w:i/>
          <w:iCs/>
        </w:rPr>
        <w:t xml:space="preserve">Academy of Management Review</w:t>
      </w:r>
    </w:p>
    <w:p>
      <w:pPr>
        <w:pStyle w:val="FirstParagraph"/>
      </w:pPr>
      <w:r>
        <w:rPr>
          <w:b/>
          <w:bCs/>
        </w:rPr>
        <w:t xml:space="preserve">Paraphrase</w:t>
      </w:r>
      <w:r>
        <w:t xml:space="preserve">: Lavie argues that incumbents’ responses to technological change depend on their ability to reconfigure existing capabilities. Directors entrenched in obsolete technical paradigms may view GenAI’s probabilistic nature as a risk to be contained rather than a capability to be unleashed.</w:t>
      </w:r>
    </w:p>
    <w:bookmarkEnd w:id="147"/>
    <w:bookmarkEnd w:id="148"/>
    <w:bookmarkStart w:id="156" w:name="products"/>
    <w:p>
      <w:pPr>
        <w:pStyle w:val="Heading1"/>
      </w:pPr>
      <w:r>
        <w:t xml:space="preserve">Products</w:t>
      </w:r>
    </w:p>
    <w:bookmarkStart w:id="153" w:name="expected-deliverables"/>
    <w:p>
      <w:pPr>
        <w:pStyle w:val="Heading2"/>
      </w:pPr>
      <w:r>
        <w:t xml:space="preserve">Expected Deliverables</w:t>
      </w:r>
    </w:p>
    <w:bookmarkStart w:id="149" w:name="primary-output"/>
    <w:p>
      <w:pPr>
        <w:pStyle w:val="Heading3"/>
      </w:pPr>
      <w:r>
        <w:t xml:space="preserve">Primary Output</w:t>
      </w:r>
    </w:p>
    <w:p>
      <w:pPr>
        <w:pStyle w:val="Compact"/>
        <w:numPr>
          <w:ilvl w:val="0"/>
          <w:numId w:val="1055"/>
        </w:numPr>
      </w:pPr>
      <w:r>
        <w:rPr>
          <w:b/>
          <w:bCs/>
        </w:rPr>
        <w:t xml:space="preserve">Journal Manuscript</w:t>
      </w:r>
      <w:r>
        <w:t xml:space="preserve">:</w:t>
      </w:r>
      <w:r>
        <w:t xml:space="preserve"> </w:t>
      </w:r>
      <w:r>
        <w:t xml:space="preserve">“Education Vintage and Knowledge Depreciation: Board Technical Competency in the Era of Generative AI”</w:t>
      </w:r>
    </w:p>
    <w:p>
      <w:pPr>
        <w:pStyle w:val="Compact"/>
        <w:numPr>
          <w:ilvl w:val="1"/>
          <w:numId w:val="1056"/>
        </w:numPr>
      </w:pPr>
      <w:r>
        <w:t xml:space="preserve">Target: Academy of Management Journal / Strategic Management Journal</w:t>
      </w:r>
    </w:p>
    <w:p>
      <w:pPr>
        <w:pStyle w:val="Compact"/>
        <w:numPr>
          <w:ilvl w:val="1"/>
          <w:numId w:val="1056"/>
        </w:numPr>
      </w:pPr>
      <w:r>
        <w:t xml:space="preserve">Format: APA 7th edition (apaquarto template)</w:t>
      </w:r>
    </w:p>
    <w:p>
      <w:pPr>
        <w:pStyle w:val="Compact"/>
        <w:numPr>
          <w:ilvl w:val="1"/>
          <w:numId w:val="1056"/>
        </w:numPr>
      </w:pPr>
      <w:r>
        <w:t xml:space="preserve">Length: ~12,000 words (excluding references and appendices)</w:t>
      </w:r>
    </w:p>
    <w:bookmarkEnd w:id="149"/>
    <w:bookmarkStart w:id="150" w:name="supplementary-materials"/>
    <w:p>
      <w:pPr>
        <w:pStyle w:val="Heading3"/>
      </w:pPr>
      <w:r>
        <w:t xml:space="preserve">Supplementary Materials</w:t>
      </w:r>
    </w:p>
    <w:p>
      <w:pPr>
        <w:pStyle w:val="Compact"/>
        <w:numPr>
          <w:ilvl w:val="0"/>
          <w:numId w:val="1057"/>
        </w:numPr>
      </w:pPr>
      <w:r>
        <w:rPr>
          <w:b/>
          <w:bCs/>
        </w:rPr>
        <w:t xml:space="preserve">Online Appendix</w:t>
      </w:r>
    </w:p>
    <w:p>
      <w:pPr>
        <w:pStyle w:val="Compact"/>
        <w:numPr>
          <w:ilvl w:val="1"/>
          <w:numId w:val="1058"/>
        </w:numPr>
      </w:pPr>
      <w:r>
        <w:t xml:space="preserve">Full variable definitions and sources</w:t>
      </w:r>
    </w:p>
    <w:p>
      <w:pPr>
        <w:pStyle w:val="Compact"/>
        <w:numPr>
          <w:ilvl w:val="1"/>
          <w:numId w:val="1058"/>
        </w:numPr>
      </w:pPr>
      <w:r>
        <w:t xml:space="preserve">STEM classification dictionary</w:t>
      </w:r>
    </w:p>
    <w:p>
      <w:pPr>
        <w:pStyle w:val="Compact"/>
        <w:numPr>
          <w:ilvl w:val="1"/>
          <w:numId w:val="1058"/>
        </w:numPr>
      </w:pPr>
      <w:r>
        <w:t xml:space="preserve">GenAI keyword dictionary with validation</w:t>
      </w:r>
    </w:p>
    <w:p>
      <w:pPr>
        <w:pStyle w:val="Compact"/>
        <w:numPr>
          <w:ilvl w:val="1"/>
          <w:numId w:val="1058"/>
        </w:numPr>
      </w:pPr>
      <w:r>
        <w:t xml:space="preserve">Additional robustness tables</w:t>
      </w:r>
    </w:p>
    <w:p>
      <w:pPr>
        <w:pStyle w:val="Compact"/>
        <w:numPr>
          <w:ilvl w:val="1"/>
          <w:numId w:val="1058"/>
        </w:numPr>
      </w:pPr>
      <w:r>
        <w:t xml:space="preserve">Event study plots</w:t>
      </w:r>
    </w:p>
    <w:p>
      <w:pPr>
        <w:pStyle w:val="Compact"/>
        <w:numPr>
          <w:ilvl w:val="0"/>
          <w:numId w:val="1057"/>
        </w:numPr>
      </w:pPr>
      <w:r>
        <w:rPr>
          <w:b/>
          <w:bCs/>
        </w:rPr>
        <w:t xml:space="preserve">Replication Package</w:t>
      </w:r>
    </w:p>
    <w:p>
      <w:pPr>
        <w:pStyle w:val="Compact"/>
        <w:numPr>
          <w:ilvl w:val="1"/>
          <w:numId w:val="1059"/>
        </w:numPr>
      </w:pPr>
      <w:r>
        <w:t xml:space="preserve">Stata/R code for all analyses</w:t>
      </w:r>
    </w:p>
    <w:p>
      <w:pPr>
        <w:pStyle w:val="Compact"/>
        <w:numPr>
          <w:ilvl w:val="1"/>
          <w:numId w:val="1059"/>
        </w:numPr>
      </w:pPr>
      <w:r>
        <w:t xml:space="preserve">Data construction scripts (Python for NLP)</w:t>
      </w:r>
    </w:p>
    <w:p>
      <w:pPr>
        <w:pStyle w:val="Compact"/>
        <w:numPr>
          <w:ilvl w:val="1"/>
          <w:numId w:val="1059"/>
        </w:numPr>
      </w:pPr>
      <w:r>
        <w:t xml:space="preserve">Variable codebook</w:t>
      </w:r>
    </w:p>
    <w:bookmarkEnd w:id="150"/>
    <w:bookmarkStart w:id="151" w:name="presentation-materials"/>
    <w:p>
      <w:pPr>
        <w:pStyle w:val="Heading3"/>
      </w:pPr>
      <w:r>
        <w:t xml:space="preserve">Presentation Materials</w:t>
      </w:r>
    </w:p>
    <w:p>
      <w:pPr>
        <w:pStyle w:val="Compact"/>
        <w:numPr>
          <w:ilvl w:val="0"/>
          <w:numId w:val="1060"/>
        </w:numPr>
      </w:pPr>
      <w:r>
        <w:rPr>
          <w:b/>
          <w:bCs/>
        </w:rPr>
        <w:t xml:space="preserve">Conference Presentation</w:t>
      </w:r>
    </w:p>
    <w:p>
      <w:pPr>
        <w:pStyle w:val="Compact"/>
        <w:numPr>
          <w:ilvl w:val="1"/>
          <w:numId w:val="1061"/>
        </w:numPr>
      </w:pPr>
      <w:r>
        <w:t xml:space="preserve">Target venues: AOM Annual Meeting, SMS Annual Conference</w:t>
      </w:r>
    </w:p>
    <w:p>
      <w:pPr>
        <w:pStyle w:val="Compact"/>
        <w:numPr>
          <w:ilvl w:val="1"/>
          <w:numId w:val="1061"/>
        </w:numPr>
      </w:pPr>
      <w:r>
        <w:t xml:space="preserve">15-minute presentation deck</w:t>
      </w:r>
    </w:p>
    <w:bookmarkEnd w:id="151"/>
    <w:bookmarkStart w:id="152" w:name="data-products"/>
    <w:p>
      <w:pPr>
        <w:pStyle w:val="Heading3"/>
      </w:pPr>
      <w:r>
        <w:t xml:space="preserve">Data Products</w:t>
      </w:r>
    </w:p>
    <w:p>
      <w:pPr>
        <w:pStyle w:val="Compact"/>
        <w:numPr>
          <w:ilvl w:val="0"/>
          <w:numId w:val="1062"/>
        </w:numPr>
      </w:pPr>
      <w:r>
        <w:rPr>
          <w:b/>
          <w:bCs/>
        </w:rPr>
        <w:t xml:space="preserve">Education Vintage Dataset</w:t>
      </w:r>
    </w:p>
    <w:p>
      <w:pPr>
        <w:pStyle w:val="Compact"/>
        <w:numPr>
          <w:ilvl w:val="1"/>
          <w:numId w:val="1063"/>
        </w:numPr>
      </w:pPr>
      <w:r>
        <w:t xml:space="preserve">Board-level vintage measures for U.S. public firms</w:t>
      </w:r>
    </w:p>
    <w:p>
      <w:pPr>
        <w:pStyle w:val="Compact"/>
        <w:numPr>
          <w:ilvl w:val="1"/>
          <w:numId w:val="1063"/>
        </w:numPr>
      </w:pPr>
      <w:r>
        <w:t xml:space="preserve">Potential for data sharing with research community (subject to BoardEx license)</w:t>
      </w:r>
    </w:p>
    <w:bookmarkEnd w:id="152"/>
    <w:bookmarkEnd w:id="153"/>
    <w:bookmarkStart w:id="154" w:name="target-journal-priorities"/>
    <w:p>
      <w:pPr>
        <w:pStyle w:val="Heading2"/>
      </w:pPr>
      <w:r>
        <w:t xml:space="preserve">Target Journal Priorities</w:t>
      </w:r>
    </w:p>
    <w:tbl>
      <w:tblPr>
        <w:tblStyle w:val="Table"/>
        <w:tblW w:type="pct" w:w="5000"/>
        <w:tblLayout w:type="fixed"/>
        <w:tblLook w:firstRow="1" w:lastRow="0" w:firstColumn="0" w:lastColumn="0" w:noHBand="0" w:noVBand="0" w:val="0020"/>
      </w:tblPr>
      <w:tblGrid>
        <w:gridCol w:w="2084"/>
        <w:gridCol w:w="1667"/>
        <w:gridCol w:w="3126"/>
        <w:gridCol w:w="1042"/>
      </w:tblGrid>
      <w:tr>
        <w:trPr>
          <w:tblHeader w:val="on"/>
        </w:trPr>
        <w:tc>
          <w:tcPr/>
          <w:p>
            <w:pPr>
              <w:pStyle w:val="Compact"/>
            </w:pPr>
            <w:r>
              <w:t xml:space="preserve">Priority</w:t>
            </w:r>
          </w:p>
        </w:tc>
        <w:tc>
          <w:tcPr/>
          <w:p>
            <w:pPr>
              <w:pStyle w:val="Compact"/>
            </w:pPr>
            <w:r>
              <w:t xml:space="preserve">Journal</w:t>
            </w:r>
          </w:p>
        </w:tc>
        <w:tc>
          <w:tcPr/>
          <w:p>
            <w:pPr>
              <w:pStyle w:val="Compact"/>
            </w:pPr>
            <w:r>
              <w:t xml:space="preserve">Impact Factor</w:t>
            </w:r>
          </w:p>
        </w:tc>
        <w:tc>
          <w:tcPr/>
          <w:p>
            <w:pPr>
              <w:pStyle w:val="Compact"/>
            </w:pPr>
            <w:r>
              <w:t xml:space="preserve">Fit</w:t>
            </w:r>
          </w:p>
        </w:tc>
      </w:tr>
      <w:tr>
        <w:tc>
          <w:tcPr/>
          <w:p>
            <w:pPr>
              <w:pStyle w:val="Compact"/>
            </w:pPr>
            <w:r>
              <w:t xml:space="preserve">1</w:t>
            </w:r>
          </w:p>
        </w:tc>
        <w:tc>
          <w:tcPr/>
          <w:p>
            <w:pPr>
              <w:pStyle w:val="Compact"/>
            </w:pPr>
            <w:r>
              <w:t xml:space="preserve">Academy of Management Journal</w:t>
            </w:r>
          </w:p>
        </w:tc>
        <w:tc>
          <w:tcPr/>
          <w:p>
            <w:pPr>
              <w:pStyle w:val="Compact"/>
            </w:pPr>
            <w:r>
              <w:t xml:space="preserve">~13.0</w:t>
            </w:r>
          </w:p>
        </w:tc>
        <w:tc>
          <w:tcPr/>
          <w:p>
            <w:pPr>
              <w:pStyle w:val="Compact"/>
            </w:pPr>
            <w:r>
              <w:t xml:space="preserve">Board human capital + tech change</w:t>
            </w:r>
          </w:p>
        </w:tc>
      </w:tr>
      <w:tr>
        <w:tc>
          <w:tcPr/>
          <w:p>
            <w:pPr>
              <w:pStyle w:val="Compact"/>
            </w:pPr>
            <w:r>
              <w:t xml:space="preserve">2</w:t>
            </w:r>
          </w:p>
        </w:tc>
        <w:tc>
          <w:tcPr/>
          <w:p>
            <w:pPr>
              <w:pStyle w:val="Compact"/>
            </w:pPr>
            <w:r>
              <w:t xml:space="preserve">Strategic Management Journal</w:t>
            </w:r>
          </w:p>
        </w:tc>
        <w:tc>
          <w:tcPr/>
          <w:p>
            <w:pPr>
              <w:pStyle w:val="Compact"/>
            </w:pPr>
            <w:r>
              <w:t xml:space="preserve">~8.6</w:t>
            </w:r>
          </w:p>
        </w:tc>
        <w:tc>
          <w:tcPr/>
          <w:p>
            <w:pPr>
              <w:pStyle w:val="Compact"/>
            </w:pPr>
            <w:r>
              <w:t xml:space="preserve">Dynamic capabilities + board composition</w:t>
            </w:r>
          </w:p>
        </w:tc>
      </w:tr>
      <w:tr>
        <w:tc>
          <w:tcPr/>
          <w:p>
            <w:pPr>
              <w:pStyle w:val="Compact"/>
            </w:pPr>
            <w:r>
              <w:t xml:space="preserve">3</w:t>
            </w:r>
          </w:p>
        </w:tc>
        <w:tc>
          <w:tcPr/>
          <w:p>
            <w:pPr>
              <w:pStyle w:val="Compact"/>
            </w:pPr>
            <w:r>
              <w:t xml:space="preserve">Journal of Management</w:t>
            </w:r>
          </w:p>
        </w:tc>
        <w:tc>
          <w:tcPr/>
          <w:p>
            <w:pPr>
              <w:pStyle w:val="Compact"/>
            </w:pPr>
            <w:r>
              <w:t xml:space="preserve">~13.5</w:t>
            </w:r>
          </w:p>
        </w:tc>
        <w:tc>
          <w:tcPr/>
          <w:p>
            <w:pPr>
              <w:pStyle w:val="Compact"/>
            </w:pPr>
            <w:r>
              <w:t xml:space="preserve">Human capital theory extension</w:t>
            </w:r>
          </w:p>
        </w:tc>
      </w:tr>
      <w:tr>
        <w:tc>
          <w:tcPr/>
          <w:p>
            <w:pPr>
              <w:pStyle w:val="Compact"/>
            </w:pPr>
            <w:r>
              <w:t xml:space="preserve">4</w:t>
            </w:r>
          </w:p>
        </w:tc>
        <w:tc>
          <w:tcPr/>
          <w:p>
            <w:pPr>
              <w:pStyle w:val="Compact"/>
            </w:pPr>
            <w:r>
              <w:t xml:space="preserve">Corporate Governance: An Intl Review</w:t>
            </w:r>
          </w:p>
        </w:tc>
        <w:tc>
          <w:tcPr/>
          <w:p>
            <w:pPr>
              <w:pStyle w:val="Compact"/>
            </w:pPr>
            <w:r>
              <w:t xml:space="preserve">~5.0</w:t>
            </w:r>
          </w:p>
        </w:tc>
        <w:tc>
          <w:tcPr/>
          <w:p>
            <w:pPr>
              <w:pStyle w:val="Compact"/>
            </w:pPr>
            <w:r>
              <w:t xml:space="preserve">Direct topical fit</w:t>
            </w:r>
          </w:p>
        </w:tc>
      </w:tr>
      <w:tr>
        <w:tc>
          <w:tcPr/>
          <w:p>
            <w:pPr>
              <w:pStyle w:val="Compact"/>
            </w:pPr>
            <w:r>
              <w:t xml:space="preserve">5</w:t>
            </w:r>
          </w:p>
        </w:tc>
        <w:tc>
          <w:tcPr/>
          <w:p>
            <w:pPr>
              <w:pStyle w:val="Compact"/>
            </w:pPr>
            <w:r>
              <w:t xml:space="preserve">Organization Science</w:t>
            </w:r>
          </w:p>
        </w:tc>
        <w:tc>
          <w:tcPr/>
          <w:p>
            <w:pPr>
              <w:pStyle w:val="Compact"/>
            </w:pPr>
            <w:r>
              <w:t xml:space="preserve">~5.4</w:t>
            </w:r>
          </w:p>
        </w:tc>
        <w:tc>
          <w:tcPr/>
          <w:p>
            <w:pPr>
              <w:pStyle w:val="Compact"/>
            </w:pPr>
            <w:r>
              <w:t xml:space="preserve">Competence trap, cognitive faultlines</w:t>
            </w:r>
          </w:p>
        </w:tc>
      </w:tr>
    </w:tbl>
    <w:bookmarkEnd w:id="154"/>
    <w:bookmarkStart w:id="155" w:name="timeline-to-submission"/>
    <w:p>
      <w:pPr>
        <w:pStyle w:val="Heading2"/>
      </w:pPr>
      <w:r>
        <w:t xml:space="preserve">Timeline to Submission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Milestone</w:t>
            </w:r>
          </w:p>
        </w:tc>
        <w:tc>
          <w:tcPr/>
          <w:p>
            <w:pPr>
              <w:pStyle w:val="Compact"/>
            </w:pPr>
            <w:r>
              <w:t xml:space="preserve">Target Date</w:t>
            </w:r>
          </w:p>
        </w:tc>
      </w:tr>
      <w:tr>
        <w:tc>
          <w:tcPr/>
          <w:p>
            <w:pPr>
              <w:pStyle w:val="Compact"/>
            </w:pPr>
            <w:r>
              <w:t xml:space="preserve">Literature review complete</w:t>
            </w:r>
          </w:p>
        </w:tc>
        <w:tc>
          <w:tcPr/>
          <w:p>
            <w:pPr>
              <w:pStyle w:val="Compact"/>
            </w:pPr>
            <w:r>
              <w:t xml:space="preserve">2026-04-30</w:t>
            </w:r>
          </w:p>
        </w:tc>
      </w:tr>
      <w:tr>
        <w:tc>
          <w:tcPr/>
          <w:p>
            <w:pPr>
              <w:pStyle w:val="Compact"/>
            </w:pPr>
            <w:r>
              <w:t xml:space="preserve">Dataset constructed</w:t>
            </w:r>
          </w:p>
        </w:tc>
        <w:tc>
          <w:tcPr/>
          <w:p>
            <w:pPr>
              <w:pStyle w:val="Compact"/>
            </w:pPr>
            <w:r>
              <w:t xml:space="preserve">2026-05-15</w:t>
            </w:r>
          </w:p>
        </w:tc>
      </w:tr>
      <w:tr>
        <w:tc>
          <w:tcPr/>
          <w:p>
            <w:pPr>
              <w:pStyle w:val="Compact"/>
            </w:pPr>
            <w:r>
              <w:t xml:space="preserve">Analysis complete</w:t>
            </w:r>
          </w:p>
        </w:tc>
        <w:tc>
          <w:tcPr/>
          <w:p>
            <w:pPr>
              <w:pStyle w:val="Compact"/>
            </w:pPr>
            <w:r>
              <w:t xml:space="preserve">2026-06-15</w:t>
            </w:r>
          </w:p>
        </w:tc>
      </w:tr>
      <w:tr>
        <w:tc>
          <w:tcPr/>
          <w:p>
            <w:pPr>
              <w:pStyle w:val="Compact"/>
            </w:pPr>
            <w:r>
              <w:t xml:space="preserve">Draft complete</w:t>
            </w:r>
          </w:p>
        </w:tc>
        <w:tc>
          <w:tcPr/>
          <w:p>
            <w:pPr>
              <w:pStyle w:val="Compact"/>
            </w:pPr>
            <w:r>
              <w:t xml:space="preserve">2026-07-15</w:t>
            </w:r>
          </w:p>
        </w:tc>
      </w:tr>
      <w:tr>
        <w:tc>
          <w:tcPr/>
          <w:p>
            <w:pPr>
              <w:pStyle w:val="Compact"/>
            </w:pPr>
            <w:r>
              <w:t xml:space="preserve">Internal review</w:t>
            </w:r>
          </w:p>
        </w:tc>
        <w:tc>
          <w:tcPr/>
          <w:p>
            <w:pPr>
              <w:pStyle w:val="Compact"/>
            </w:pPr>
            <w:r>
              <w:t xml:space="preserve">2026-07-30</w:t>
            </w:r>
          </w:p>
        </w:tc>
      </w:tr>
      <w:tr>
        <w:tc>
          <w:tcPr/>
          <w:p>
            <w:pPr>
              <w:pStyle w:val="Compact"/>
            </w:pPr>
            <w:r>
              <w:t xml:space="preserve">Journal submission</w:t>
            </w:r>
          </w:p>
        </w:tc>
        <w:tc>
          <w:tcPr/>
          <w:p>
            <w:pPr>
              <w:pStyle w:val="Compact"/>
            </w:pPr>
            <w:r>
              <w:t xml:space="preserve">2026-08-15</w:t>
            </w:r>
          </w:p>
        </w:tc>
      </w:tr>
    </w:tbl>
    <w:bookmarkEnd w:id="155"/>
    <w:bookmarkEnd w:id="156"/>
    <w:bookmarkStart w:id="158" w:name="references"/>
    <w:p>
      <w:pPr>
        <w:pStyle w:val="Heading1"/>
      </w:pPr>
      <w:r>
        <w:t xml:space="preserve">References</w:t>
      </w:r>
    </w:p>
    <w:bookmarkStart w:id="157" w:name="refs"/>
    <w:bookmarkEnd w:id="157"/>
    <w:bookmarkEnd w:id="15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num w:numId="1000">
    <w:abstractNumId w:val="990"/>
  </w:num>
  <w:num w:numId="1001">
    <w:abstractNumId w:val="991"/>
  </w:num>
  <w:num w:numId="1002">
    <w:abstractNumId w:val="993"/>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1"/>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1"/>
  </w:num>
  <w:num w:numId="105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58">
    <w:abstractNumId w:val="991"/>
  </w:num>
  <w:num w:numId="1059">
    <w:abstractNumId w:val="991"/>
  </w:num>
  <w:num w:numId="1060">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61">
    <w:abstractNumId w:val="991"/>
  </w:num>
  <w:num w:numId="1062">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6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Vintage and Knowledge Depreciation: Board Technical Competency in the Era of Generative AI</dc:title>
  <dc:creator>Chungil Chae</dc:creator>
  <cp:keywords/>
  <dcterms:created xsi:type="dcterms:W3CDTF">2026-03-31T18:22:14Z</dcterms:created>
  <dcterms:modified xsi:type="dcterms:W3CDTF">2026-03-31T18:22:14Z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over-image">
    <vt:lpwstr>img/cover.png</vt:lpwstr>
  </property>
  <property fmtid="{D5CDD505-2E9C-101B-9397-08002B2CF9AE}" pid="8" name="crossref">
    <vt:lpwstr/>
  </property>
  <property fmtid="{D5CDD505-2E9C-101B-9397-08002B2CF9AE}" pid="9" name="csl">
    <vt:lpwstr>bib/apa.csl</vt:lpwstr>
  </property>
  <property fmtid="{D5CDD505-2E9C-101B-9397-08002B2CF9AE}" pid="10" name="date">
    <vt:lpwstr>Wed, 1 April 2026</vt:lpwstr>
  </property>
  <property fmtid="{D5CDD505-2E9C-101B-9397-08002B2CF9AE}" pid="11" name="date-format">
    <vt:lpwstr>ddd, D MMMM YYYY</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subtitle">
    <vt:lpwstr>The integration of artificial intelligence (AI) into the strategic core of the modern enterprise represents a pivotal juncture in corporate history, comparable to the advent of the internet or the electrification of industry. Specifically, the emergence of Generative AI (GenAI), catalyzed by the public release of ChatGPT in November 2022, has created a competence-destroying technological discontinuity (Anderson &amp; Tushman, 2018). Unlike incremental technological advances that reward accumulated experience and existing institutional knowledge, competence-destroying discontinuities render vast swaths of prior expertise obsolete. In this volatile environment, the board of directors serves as the ultimate steward of organizational adaptation, tasked with navigating the firm through the gale of creative destruction (Ma, 2025).</vt:lpwstr>
  </property>
  <property fmtid="{D5CDD505-2E9C-101B-9397-08002B2CF9AE}" pid="17" name="template-partials">
    <vt:lpwstr/>
  </property>
  <property fmtid="{D5CDD505-2E9C-101B-9397-08002B2CF9AE}" pid="18" name="toc-title">
    <vt:lpwstr>Table of contents</vt:lpwstr>
  </property>
</Properties>
</file>